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方正小标宋_GBK" w:hAnsi="宋体" w:eastAsia="方正小标宋_GBK"/>
          <w:color w:val="000000"/>
          <w:sz w:val="52"/>
          <w:szCs w:val="52"/>
        </w:rPr>
      </w:pPr>
    </w:p>
    <w:p>
      <w:pPr>
        <w:spacing w:line="360" w:lineRule="auto"/>
        <w:jc w:val="center"/>
        <w:rPr>
          <w:rFonts w:ascii="方正小标宋_GBK" w:hAnsi="宋体" w:eastAsia="方正小标宋_GBK"/>
          <w:color w:val="000000"/>
          <w:sz w:val="52"/>
          <w:szCs w:val="52"/>
        </w:rPr>
      </w:pPr>
    </w:p>
    <w:p>
      <w:pPr>
        <w:spacing w:line="360" w:lineRule="auto"/>
        <w:jc w:val="center"/>
        <w:rPr>
          <w:rFonts w:ascii="方正小标宋_GBK" w:hAnsi="宋体" w:eastAsia="方正小标宋_GBK"/>
          <w:color w:val="000000"/>
          <w:sz w:val="52"/>
          <w:szCs w:val="52"/>
        </w:rPr>
      </w:pPr>
    </w:p>
    <w:p>
      <w:pPr>
        <w:spacing w:line="360" w:lineRule="auto"/>
        <w:jc w:val="center"/>
        <w:rPr>
          <w:rFonts w:hint="eastAsia" w:ascii="方正仿宋_GBK" w:hAnsi="宋体" w:eastAsia="方正仿宋_GBK"/>
          <w:b/>
          <w:color w:val="000000"/>
          <w:sz w:val="44"/>
          <w:szCs w:val="44"/>
        </w:rPr>
      </w:pPr>
      <w:r>
        <w:rPr>
          <w:rFonts w:hint="eastAsia" w:ascii="方正仿宋_GBK" w:hAnsi="宋体" w:eastAsia="方正仿宋_GBK"/>
          <w:b/>
          <w:color w:val="000000"/>
          <w:sz w:val="44"/>
          <w:szCs w:val="44"/>
          <w:lang w:eastAsia="zh-CN"/>
        </w:rPr>
        <w:t>安徽省</w:t>
      </w:r>
      <w:r>
        <w:rPr>
          <w:rFonts w:hint="eastAsia" w:ascii="方正仿宋_GBK" w:hAnsi="宋体" w:eastAsia="方正仿宋_GBK"/>
          <w:b/>
          <w:color w:val="000000"/>
          <w:sz w:val="44"/>
          <w:szCs w:val="44"/>
        </w:rPr>
        <w:t>经营主体市场注册</w:t>
      </w:r>
    </w:p>
    <w:p>
      <w:pPr>
        <w:spacing w:line="360" w:lineRule="auto"/>
        <w:jc w:val="center"/>
        <w:rPr>
          <w:rFonts w:ascii="方正仿宋_GBK" w:hAnsi="宋体" w:eastAsia="方正仿宋_GBK"/>
          <w:b/>
          <w:color w:val="000000"/>
          <w:sz w:val="44"/>
          <w:szCs w:val="44"/>
        </w:rPr>
      </w:pPr>
      <w:r>
        <w:rPr>
          <w:rFonts w:hint="eastAsia" w:ascii="方正仿宋_GBK" w:hAnsi="宋体" w:eastAsia="方正仿宋_GBK"/>
          <w:b/>
          <w:color w:val="000000"/>
          <w:sz w:val="44"/>
          <w:szCs w:val="44"/>
        </w:rPr>
        <w:t>业务指南</w:t>
      </w:r>
    </w:p>
    <w:p>
      <w:pPr>
        <w:ind w:firstLine="640" w:firstLineChars="200"/>
        <w:jc w:val="center"/>
        <w:rPr>
          <w:rFonts w:ascii="宋体" w:hAnsi="宋体"/>
          <w:color w:val="000000"/>
          <w:sz w:val="32"/>
          <w:szCs w:val="32"/>
        </w:rPr>
      </w:pPr>
    </w:p>
    <w:p>
      <w:pPr>
        <w:ind w:firstLine="640" w:firstLineChars="200"/>
        <w:jc w:val="center"/>
        <w:rPr>
          <w:rFonts w:ascii="宋体" w:hAnsi="宋体"/>
          <w:color w:val="000000"/>
          <w:sz w:val="32"/>
          <w:szCs w:val="32"/>
        </w:rPr>
      </w:pPr>
    </w:p>
    <w:p>
      <w:pPr>
        <w:ind w:firstLine="640" w:firstLineChars="200"/>
        <w:jc w:val="center"/>
        <w:rPr>
          <w:rFonts w:ascii="宋体" w:hAnsi="宋体"/>
          <w:color w:val="000000"/>
          <w:sz w:val="32"/>
          <w:szCs w:val="32"/>
        </w:rPr>
      </w:pPr>
    </w:p>
    <w:p>
      <w:pPr>
        <w:ind w:firstLine="640" w:firstLineChars="200"/>
        <w:jc w:val="center"/>
        <w:rPr>
          <w:rFonts w:ascii="宋体" w:hAnsi="宋体"/>
          <w:color w:val="000000"/>
          <w:sz w:val="32"/>
          <w:szCs w:val="32"/>
        </w:rPr>
      </w:pPr>
    </w:p>
    <w:p>
      <w:pPr>
        <w:ind w:firstLine="640" w:firstLineChars="200"/>
        <w:jc w:val="center"/>
        <w:rPr>
          <w:rFonts w:ascii="宋体" w:hAnsi="宋体"/>
          <w:color w:val="000000"/>
          <w:sz w:val="32"/>
          <w:szCs w:val="32"/>
        </w:rPr>
      </w:pPr>
    </w:p>
    <w:p>
      <w:pPr>
        <w:ind w:firstLine="640" w:firstLineChars="200"/>
        <w:jc w:val="center"/>
        <w:rPr>
          <w:rFonts w:ascii="宋体" w:hAnsi="宋体"/>
          <w:color w:val="000000"/>
          <w:sz w:val="32"/>
          <w:szCs w:val="32"/>
        </w:rPr>
      </w:pPr>
    </w:p>
    <w:p>
      <w:pPr>
        <w:ind w:firstLine="640" w:firstLineChars="200"/>
        <w:jc w:val="center"/>
        <w:rPr>
          <w:rFonts w:ascii="宋体" w:hAnsi="宋体"/>
          <w:color w:val="000000"/>
          <w:sz w:val="32"/>
          <w:szCs w:val="32"/>
        </w:rPr>
      </w:pPr>
    </w:p>
    <w:p>
      <w:pPr>
        <w:ind w:firstLine="640" w:firstLineChars="200"/>
        <w:jc w:val="center"/>
        <w:rPr>
          <w:rFonts w:ascii="宋体" w:hAnsi="宋体"/>
          <w:color w:val="000000"/>
          <w:sz w:val="32"/>
          <w:szCs w:val="32"/>
        </w:rPr>
      </w:pPr>
    </w:p>
    <w:p>
      <w:pPr>
        <w:ind w:firstLine="640" w:firstLineChars="200"/>
        <w:jc w:val="center"/>
        <w:rPr>
          <w:rFonts w:ascii="宋体" w:hAnsi="宋体"/>
          <w:color w:val="000000"/>
          <w:sz w:val="32"/>
          <w:szCs w:val="32"/>
        </w:rPr>
      </w:pPr>
    </w:p>
    <w:p>
      <w:pPr>
        <w:ind w:firstLine="640" w:firstLineChars="200"/>
        <w:jc w:val="center"/>
        <w:rPr>
          <w:rFonts w:ascii="宋体" w:hAnsi="宋体"/>
          <w:color w:val="000000"/>
          <w:sz w:val="32"/>
          <w:szCs w:val="32"/>
        </w:rPr>
      </w:pPr>
    </w:p>
    <w:p>
      <w:pPr>
        <w:ind w:firstLine="640" w:firstLineChars="200"/>
        <w:jc w:val="center"/>
        <w:rPr>
          <w:rFonts w:ascii="宋体" w:hAnsi="宋体"/>
          <w:color w:val="000000"/>
          <w:sz w:val="32"/>
          <w:szCs w:val="32"/>
        </w:rPr>
      </w:pPr>
    </w:p>
    <w:p>
      <w:pPr>
        <w:ind w:firstLine="640" w:firstLineChars="200"/>
        <w:jc w:val="center"/>
        <w:rPr>
          <w:rFonts w:ascii="宋体" w:hAnsi="宋体"/>
          <w:color w:val="000000"/>
          <w:sz w:val="32"/>
          <w:szCs w:val="32"/>
        </w:rPr>
      </w:pPr>
    </w:p>
    <w:p>
      <w:pPr>
        <w:ind w:firstLine="640" w:firstLineChars="200"/>
        <w:jc w:val="center"/>
        <w:rPr>
          <w:rFonts w:ascii="宋体" w:hAnsi="宋体"/>
          <w:color w:val="000000"/>
          <w:sz w:val="32"/>
          <w:szCs w:val="32"/>
        </w:rPr>
      </w:pPr>
    </w:p>
    <w:p>
      <w:pPr>
        <w:ind w:firstLine="643" w:firstLineChars="200"/>
        <w:jc w:val="center"/>
        <w:rPr>
          <w:b/>
          <w:bCs/>
          <w:sz w:val="32"/>
          <w:szCs w:val="32"/>
        </w:rPr>
      </w:pPr>
      <w:r>
        <w:rPr>
          <w:rFonts w:hint="eastAsia"/>
          <w:b/>
          <w:bCs/>
          <w:sz w:val="32"/>
          <w:szCs w:val="32"/>
        </w:rPr>
        <w:t>安徽电力交易中心有限公司</w:t>
      </w:r>
    </w:p>
    <w:p>
      <w:pPr>
        <w:ind w:firstLine="643" w:firstLineChars="200"/>
        <w:jc w:val="center"/>
        <w:rPr>
          <w:rFonts w:hint="eastAsia" w:eastAsia="宋体"/>
          <w:b/>
          <w:bCs/>
          <w:sz w:val="32"/>
          <w:szCs w:val="32"/>
          <w:lang w:eastAsia="zh-CN"/>
        </w:rPr>
      </w:pPr>
      <w:r>
        <w:rPr>
          <w:rFonts w:hint="eastAsia"/>
          <w:b/>
          <w:bCs/>
          <w:sz w:val="32"/>
          <w:szCs w:val="32"/>
        </w:rPr>
        <w:t>2024.1</w:t>
      </w:r>
      <w:r>
        <w:rPr>
          <w:rFonts w:hint="eastAsia"/>
          <w:b/>
          <w:bCs/>
          <w:sz w:val="32"/>
          <w:szCs w:val="32"/>
          <w:lang w:val="en-US" w:eastAsia="zh-CN"/>
        </w:rPr>
        <w:t>1</w:t>
      </w:r>
    </w:p>
    <w:p>
      <w:pPr>
        <w:pStyle w:val="10"/>
        <w:tabs>
          <w:tab w:val="right" w:leader="dot" w:pos="8306"/>
        </w:tabs>
        <w:jc w:val="center"/>
        <w:rPr>
          <w:rFonts w:ascii="仿宋_GB2312" w:eastAsia="仿宋_GB2312"/>
          <w:b/>
          <w:bCs/>
          <w:color w:val="000000"/>
          <w:sz w:val="52"/>
          <w:szCs w:val="52"/>
        </w:rPr>
      </w:pPr>
    </w:p>
    <w:p>
      <w:pPr>
        <w:pStyle w:val="10"/>
        <w:tabs>
          <w:tab w:val="right" w:leader="dot" w:pos="8306"/>
        </w:tabs>
        <w:jc w:val="center"/>
        <w:rPr>
          <w:rFonts w:ascii="仿宋_GB2312" w:eastAsia="仿宋_GB2312"/>
          <w:b/>
          <w:bCs/>
          <w:color w:val="000000"/>
          <w:sz w:val="52"/>
          <w:szCs w:val="52"/>
        </w:rPr>
      </w:pPr>
      <w:r>
        <w:rPr>
          <w:rFonts w:hint="eastAsia" w:ascii="仿宋_GB2312" w:eastAsia="仿宋_GB2312"/>
          <w:b/>
          <w:bCs/>
          <w:color w:val="000000"/>
          <w:sz w:val="52"/>
          <w:szCs w:val="52"/>
        </w:rPr>
        <w:t>目录</w:t>
      </w:r>
    </w:p>
    <w:p>
      <w:pPr>
        <w:rPr>
          <w:rFonts w:asciiTheme="majorEastAsia" w:hAnsiTheme="majorEastAsia" w:eastAsiaTheme="majorEastAsia" w:cstheme="majorEastAsia"/>
          <w:b/>
          <w:bCs/>
          <w:color w:val="000000"/>
          <w:sz w:val="44"/>
          <w:szCs w:val="44"/>
        </w:rPr>
      </w:pPr>
    </w:p>
    <w:p>
      <w:pPr>
        <w:pStyle w:val="10"/>
        <w:keepNext w:val="0"/>
        <w:keepLines w:val="0"/>
        <w:pageBreakBefore w:val="0"/>
        <w:widowControl w:val="0"/>
        <w:tabs>
          <w:tab w:val="right" w:leader="dot" w:pos="8306"/>
        </w:tabs>
        <w:kinsoku/>
        <w:wordWrap/>
        <w:overflowPunct/>
        <w:topLinePunct w:val="0"/>
        <w:autoSpaceDE/>
        <w:autoSpaceDN/>
        <w:bidi w:val="0"/>
        <w:adjustRightInd/>
        <w:snapToGrid/>
        <w:ind w:firstLine="562" w:firstLineChars="100"/>
        <w:textAlignment w:val="auto"/>
        <w:rPr>
          <w:sz w:val="28"/>
          <w:szCs w:val="36"/>
        </w:rPr>
      </w:pPr>
      <w:r>
        <w:rPr>
          <w:rFonts w:hint="eastAsia" w:ascii="方正楷体_GBK" w:hAnsi="方正楷体_GBK" w:eastAsia="方正楷体_GBK" w:cs="方正楷体_GBK"/>
          <w:b/>
          <w:color w:val="000000"/>
          <w:sz w:val="56"/>
          <w:szCs w:val="56"/>
        </w:rPr>
        <w:fldChar w:fldCharType="begin"/>
      </w:r>
      <w:r>
        <w:rPr>
          <w:rFonts w:hint="eastAsia" w:ascii="方正楷体_GBK" w:hAnsi="方正楷体_GBK" w:eastAsia="方正楷体_GBK" w:cs="方正楷体_GBK"/>
          <w:b/>
          <w:color w:val="000000"/>
          <w:sz w:val="56"/>
          <w:szCs w:val="56"/>
        </w:rPr>
        <w:instrText xml:space="preserve">TOC \o "1-3" \h \u </w:instrText>
      </w:r>
      <w:r>
        <w:rPr>
          <w:rFonts w:hint="eastAsia" w:ascii="方正楷体_GBK" w:hAnsi="方正楷体_GBK" w:eastAsia="方正楷体_GBK" w:cs="方正楷体_GBK"/>
          <w:b/>
          <w:color w:val="000000"/>
          <w:sz w:val="56"/>
          <w:szCs w:val="56"/>
        </w:rPr>
        <w:fldChar w:fldCharType="separate"/>
      </w:r>
      <w:r>
        <w:rPr>
          <w:rFonts w:hint="eastAsia" w:ascii="方正楷体_GBK" w:hAnsi="方正楷体_GBK" w:eastAsia="方正楷体_GBK" w:cs="方正楷体_GBK"/>
          <w:color w:val="000000"/>
          <w:sz w:val="28"/>
          <w:szCs w:val="56"/>
        </w:rPr>
        <w:fldChar w:fldCharType="begin"/>
      </w:r>
      <w:r>
        <w:rPr>
          <w:rFonts w:hint="eastAsia" w:ascii="方正楷体_GBK" w:hAnsi="方正楷体_GBK" w:eastAsia="方正楷体_GBK" w:cs="方正楷体_GBK"/>
          <w:sz w:val="28"/>
          <w:szCs w:val="56"/>
        </w:rPr>
        <w:instrText xml:space="preserve"> HYPERLINK \l _Toc14182 </w:instrText>
      </w:r>
      <w:r>
        <w:rPr>
          <w:rFonts w:hint="eastAsia" w:ascii="方正楷体_GBK" w:hAnsi="方正楷体_GBK" w:eastAsia="方正楷体_GBK" w:cs="方正楷体_GBK"/>
          <w:sz w:val="28"/>
          <w:szCs w:val="56"/>
        </w:rPr>
        <w:fldChar w:fldCharType="separate"/>
      </w:r>
      <w:r>
        <w:rPr>
          <w:rFonts w:hint="eastAsia" w:ascii="黑体" w:hAnsi="黑体" w:eastAsia="黑体"/>
          <w:sz w:val="28"/>
          <w:szCs w:val="48"/>
        </w:rPr>
        <w:t>前言</w:t>
      </w:r>
      <w:r>
        <w:rPr>
          <w:sz w:val="28"/>
          <w:szCs w:val="36"/>
        </w:rPr>
        <w:tab/>
      </w:r>
      <w:r>
        <w:rPr>
          <w:sz w:val="28"/>
          <w:szCs w:val="36"/>
        </w:rPr>
        <w:fldChar w:fldCharType="begin"/>
      </w:r>
      <w:r>
        <w:rPr>
          <w:sz w:val="28"/>
          <w:szCs w:val="36"/>
        </w:rPr>
        <w:instrText xml:space="preserve"> PAGEREF _Toc14182 \h </w:instrText>
      </w:r>
      <w:r>
        <w:rPr>
          <w:sz w:val="28"/>
          <w:szCs w:val="36"/>
        </w:rPr>
        <w:fldChar w:fldCharType="separate"/>
      </w:r>
      <w:r>
        <w:rPr>
          <w:sz w:val="28"/>
          <w:szCs w:val="36"/>
        </w:rPr>
        <w:t>3</w:t>
      </w:r>
      <w:r>
        <w:rPr>
          <w:sz w:val="28"/>
          <w:szCs w:val="36"/>
        </w:rPr>
        <w:fldChar w:fldCharType="end"/>
      </w:r>
      <w:r>
        <w:rPr>
          <w:rFonts w:hint="eastAsia" w:ascii="方正楷体_GBK" w:hAnsi="方正楷体_GBK" w:eastAsia="方正楷体_GBK" w:cs="方正楷体_GBK"/>
          <w:color w:val="000000"/>
          <w:sz w:val="28"/>
          <w:szCs w:val="56"/>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snapToGrid/>
        <w:ind w:firstLine="560" w:firstLineChars="200"/>
        <w:textAlignment w:val="auto"/>
        <w:rPr>
          <w:sz w:val="28"/>
          <w:szCs w:val="36"/>
        </w:rPr>
      </w:pPr>
      <w:r>
        <w:rPr>
          <w:rFonts w:hint="eastAsia" w:ascii="方正楷体_GBK" w:hAnsi="方正楷体_GBK" w:eastAsia="方正楷体_GBK" w:cs="方正楷体_GBK"/>
          <w:color w:val="000000"/>
          <w:sz w:val="28"/>
          <w:szCs w:val="56"/>
        </w:rPr>
        <w:fldChar w:fldCharType="begin"/>
      </w:r>
      <w:r>
        <w:rPr>
          <w:rFonts w:hint="eastAsia" w:ascii="方正楷体_GBK" w:hAnsi="方正楷体_GBK" w:eastAsia="方正楷体_GBK" w:cs="方正楷体_GBK"/>
          <w:sz w:val="28"/>
          <w:szCs w:val="56"/>
        </w:rPr>
        <w:instrText xml:space="preserve"> HYPERLINK \l _Toc913 </w:instrText>
      </w:r>
      <w:r>
        <w:rPr>
          <w:rFonts w:hint="eastAsia" w:ascii="方正楷体_GBK" w:hAnsi="方正楷体_GBK" w:eastAsia="方正楷体_GBK" w:cs="方正楷体_GBK"/>
          <w:sz w:val="28"/>
          <w:szCs w:val="56"/>
        </w:rPr>
        <w:fldChar w:fldCharType="separate"/>
      </w:r>
      <w:r>
        <w:rPr>
          <w:rFonts w:hint="eastAsia" w:ascii="黑体" w:eastAsia="黑体"/>
          <w:sz w:val="28"/>
          <w:szCs w:val="48"/>
          <w:lang w:eastAsia="zh-CN"/>
        </w:rPr>
        <w:t>一</w:t>
      </w:r>
      <w:r>
        <w:rPr>
          <w:rFonts w:hint="eastAsia" w:ascii="黑体" w:eastAsia="黑体"/>
          <w:sz w:val="28"/>
          <w:szCs w:val="48"/>
        </w:rPr>
        <w:t>．注册条件</w:t>
      </w:r>
      <w:r>
        <w:rPr>
          <w:sz w:val="28"/>
          <w:szCs w:val="36"/>
        </w:rPr>
        <w:tab/>
      </w:r>
      <w:r>
        <w:rPr>
          <w:sz w:val="28"/>
          <w:szCs w:val="36"/>
        </w:rPr>
        <w:fldChar w:fldCharType="begin"/>
      </w:r>
      <w:r>
        <w:rPr>
          <w:sz w:val="28"/>
          <w:szCs w:val="36"/>
        </w:rPr>
        <w:instrText xml:space="preserve"> PAGEREF _Toc913 \h </w:instrText>
      </w:r>
      <w:r>
        <w:rPr>
          <w:sz w:val="28"/>
          <w:szCs w:val="36"/>
        </w:rPr>
        <w:fldChar w:fldCharType="separate"/>
      </w:r>
      <w:r>
        <w:rPr>
          <w:sz w:val="28"/>
          <w:szCs w:val="36"/>
        </w:rPr>
        <w:t>4</w:t>
      </w:r>
      <w:r>
        <w:rPr>
          <w:sz w:val="28"/>
          <w:szCs w:val="36"/>
        </w:rPr>
        <w:fldChar w:fldCharType="end"/>
      </w:r>
      <w:r>
        <w:rPr>
          <w:rFonts w:hint="eastAsia" w:ascii="方正楷体_GBK" w:hAnsi="方正楷体_GBK" w:eastAsia="方正楷体_GBK" w:cs="方正楷体_GBK"/>
          <w:color w:val="000000"/>
          <w:sz w:val="28"/>
          <w:szCs w:val="56"/>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snapToGrid/>
        <w:ind w:firstLine="560" w:firstLineChars="200"/>
        <w:textAlignment w:val="auto"/>
        <w:rPr>
          <w:sz w:val="28"/>
          <w:szCs w:val="36"/>
        </w:rPr>
      </w:pPr>
      <w:r>
        <w:rPr>
          <w:rFonts w:hint="eastAsia" w:ascii="方正楷体_GBK" w:hAnsi="方正楷体_GBK" w:eastAsia="方正楷体_GBK" w:cs="方正楷体_GBK"/>
          <w:color w:val="000000"/>
          <w:sz w:val="28"/>
          <w:szCs w:val="56"/>
        </w:rPr>
        <w:fldChar w:fldCharType="begin"/>
      </w:r>
      <w:r>
        <w:rPr>
          <w:rFonts w:hint="eastAsia" w:ascii="方正楷体_GBK" w:hAnsi="方正楷体_GBK" w:eastAsia="方正楷体_GBK" w:cs="方正楷体_GBK"/>
          <w:sz w:val="28"/>
          <w:szCs w:val="56"/>
        </w:rPr>
        <w:instrText xml:space="preserve"> HYPERLINK \l _Toc15925 </w:instrText>
      </w:r>
      <w:r>
        <w:rPr>
          <w:rFonts w:hint="eastAsia" w:ascii="方正楷体_GBK" w:hAnsi="方正楷体_GBK" w:eastAsia="方正楷体_GBK" w:cs="方正楷体_GBK"/>
          <w:sz w:val="28"/>
          <w:szCs w:val="56"/>
        </w:rPr>
        <w:fldChar w:fldCharType="separate"/>
      </w:r>
      <w:r>
        <w:rPr>
          <w:rFonts w:hint="eastAsia" w:ascii="黑体" w:eastAsia="黑体"/>
          <w:sz w:val="28"/>
          <w:szCs w:val="48"/>
          <w:lang w:eastAsia="zh-CN"/>
        </w:rPr>
        <w:t>二</w:t>
      </w:r>
      <w:r>
        <w:rPr>
          <w:rFonts w:hint="eastAsia" w:ascii="黑体" w:eastAsia="黑体"/>
          <w:sz w:val="28"/>
          <w:szCs w:val="48"/>
        </w:rPr>
        <w:t>．市场注册</w:t>
      </w:r>
      <w:r>
        <w:rPr>
          <w:sz w:val="28"/>
          <w:szCs w:val="36"/>
        </w:rPr>
        <w:tab/>
      </w:r>
      <w:r>
        <w:rPr>
          <w:sz w:val="28"/>
          <w:szCs w:val="36"/>
        </w:rPr>
        <w:fldChar w:fldCharType="begin"/>
      </w:r>
      <w:r>
        <w:rPr>
          <w:sz w:val="28"/>
          <w:szCs w:val="36"/>
        </w:rPr>
        <w:instrText xml:space="preserve"> PAGEREF _Toc15925 \h </w:instrText>
      </w:r>
      <w:r>
        <w:rPr>
          <w:sz w:val="28"/>
          <w:szCs w:val="36"/>
        </w:rPr>
        <w:fldChar w:fldCharType="separate"/>
      </w:r>
      <w:r>
        <w:rPr>
          <w:sz w:val="28"/>
          <w:szCs w:val="36"/>
        </w:rPr>
        <w:t>8</w:t>
      </w:r>
      <w:r>
        <w:rPr>
          <w:sz w:val="28"/>
          <w:szCs w:val="36"/>
        </w:rPr>
        <w:fldChar w:fldCharType="end"/>
      </w:r>
      <w:r>
        <w:rPr>
          <w:rFonts w:hint="eastAsia" w:ascii="方正楷体_GBK" w:hAnsi="方正楷体_GBK" w:eastAsia="方正楷体_GBK" w:cs="方正楷体_GBK"/>
          <w:color w:val="000000"/>
          <w:sz w:val="28"/>
          <w:szCs w:val="56"/>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snapToGrid/>
        <w:ind w:firstLine="560" w:firstLineChars="200"/>
        <w:textAlignment w:val="auto"/>
        <w:rPr>
          <w:sz w:val="28"/>
          <w:szCs w:val="36"/>
        </w:rPr>
      </w:pPr>
      <w:r>
        <w:rPr>
          <w:rFonts w:hint="eastAsia" w:ascii="方正楷体_GBK" w:hAnsi="方正楷体_GBK" w:eastAsia="方正楷体_GBK" w:cs="方正楷体_GBK"/>
          <w:color w:val="000000"/>
          <w:sz w:val="28"/>
          <w:szCs w:val="56"/>
        </w:rPr>
        <w:fldChar w:fldCharType="begin"/>
      </w:r>
      <w:r>
        <w:rPr>
          <w:rFonts w:hint="eastAsia" w:ascii="方正楷体_GBK" w:hAnsi="方正楷体_GBK" w:eastAsia="方正楷体_GBK" w:cs="方正楷体_GBK"/>
          <w:sz w:val="28"/>
          <w:szCs w:val="56"/>
        </w:rPr>
        <w:instrText xml:space="preserve"> HYPERLINK \l _Toc15948 </w:instrText>
      </w:r>
      <w:r>
        <w:rPr>
          <w:rFonts w:hint="eastAsia" w:ascii="方正楷体_GBK" w:hAnsi="方正楷体_GBK" w:eastAsia="方正楷体_GBK" w:cs="方正楷体_GBK"/>
          <w:sz w:val="28"/>
          <w:szCs w:val="56"/>
        </w:rPr>
        <w:fldChar w:fldCharType="separate"/>
      </w:r>
      <w:r>
        <w:rPr>
          <w:rFonts w:hint="eastAsia" w:ascii="黑体" w:eastAsia="黑体"/>
          <w:sz w:val="28"/>
          <w:szCs w:val="48"/>
          <w:lang w:eastAsia="zh-CN"/>
        </w:rPr>
        <w:t>三</w:t>
      </w:r>
      <w:r>
        <w:rPr>
          <w:rFonts w:hint="eastAsia" w:ascii="黑体" w:eastAsia="黑体"/>
          <w:sz w:val="28"/>
          <w:szCs w:val="48"/>
        </w:rPr>
        <w:t>．信息变更</w:t>
      </w:r>
      <w:r>
        <w:rPr>
          <w:sz w:val="28"/>
          <w:szCs w:val="36"/>
        </w:rPr>
        <w:tab/>
      </w:r>
      <w:r>
        <w:rPr>
          <w:sz w:val="28"/>
          <w:szCs w:val="36"/>
        </w:rPr>
        <w:fldChar w:fldCharType="begin"/>
      </w:r>
      <w:r>
        <w:rPr>
          <w:sz w:val="28"/>
          <w:szCs w:val="36"/>
        </w:rPr>
        <w:instrText xml:space="preserve"> PAGEREF _Toc15948 \h </w:instrText>
      </w:r>
      <w:r>
        <w:rPr>
          <w:sz w:val="28"/>
          <w:szCs w:val="36"/>
        </w:rPr>
        <w:fldChar w:fldCharType="separate"/>
      </w:r>
      <w:r>
        <w:rPr>
          <w:sz w:val="28"/>
          <w:szCs w:val="36"/>
        </w:rPr>
        <w:t>10</w:t>
      </w:r>
      <w:r>
        <w:rPr>
          <w:sz w:val="28"/>
          <w:szCs w:val="36"/>
        </w:rPr>
        <w:fldChar w:fldCharType="end"/>
      </w:r>
      <w:r>
        <w:rPr>
          <w:rFonts w:hint="eastAsia" w:ascii="方正楷体_GBK" w:hAnsi="方正楷体_GBK" w:eastAsia="方正楷体_GBK" w:cs="方正楷体_GBK"/>
          <w:color w:val="000000"/>
          <w:sz w:val="28"/>
          <w:szCs w:val="56"/>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snapToGrid/>
        <w:ind w:firstLine="560" w:firstLineChars="200"/>
        <w:textAlignment w:val="auto"/>
        <w:rPr>
          <w:sz w:val="28"/>
          <w:szCs w:val="36"/>
        </w:rPr>
      </w:pPr>
      <w:r>
        <w:rPr>
          <w:rFonts w:hint="eastAsia" w:ascii="方正楷体_GBK" w:hAnsi="方正楷体_GBK" w:eastAsia="方正楷体_GBK" w:cs="方正楷体_GBK"/>
          <w:color w:val="000000"/>
          <w:sz w:val="28"/>
          <w:szCs w:val="56"/>
        </w:rPr>
        <w:fldChar w:fldCharType="begin"/>
      </w:r>
      <w:r>
        <w:rPr>
          <w:rFonts w:hint="eastAsia" w:ascii="方正楷体_GBK" w:hAnsi="方正楷体_GBK" w:eastAsia="方正楷体_GBK" w:cs="方正楷体_GBK"/>
          <w:sz w:val="28"/>
          <w:szCs w:val="56"/>
        </w:rPr>
        <w:instrText xml:space="preserve"> HYPERLINK \l _Toc17842 </w:instrText>
      </w:r>
      <w:r>
        <w:rPr>
          <w:rFonts w:hint="eastAsia" w:ascii="方正楷体_GBK" w:hAnsi="方正楷体_GBK" w:eastAsia="方正楷体_GBK" w:cs="方正楷体_GBK"/>
          <w:sz w:val="28"/>
          <w:szCs w:val="56"/>
        </w:rPr>
        <w:fldChar w:fldCharType="separate"/>
      </w:r>
      <w:r>
        <w:rPr>
          <w:rFonts w:hint="eastAsia" w:ascii="黑体" w:eastAsia="黑体"/>
          <w:sz w:val="28"/>
          <w:szCs w:val="48"/>
          <w:lang w:eastAsia="zh-CN"/>
        </w:rPr>
        <w:t>四</w:t>
      </w:r>
      <w:r>
        <w:rPr>
          <w:rFonts w:hint="eastAsia" w:ascii="黑体" w:eastAsia="黑体"/>
          <w:sz w:val="28"/>
          <w:szCs w:val="48"/>
        </w:rPr>
        <w:t>．市场注销</w:t>
      </w:r>
      <w:r>
        <w:rPr>
          <w:sz w:val="28"/>
          <w:szCs w:val="36"/>
        </w:rPr>
        <w:tab/>
      </w:r>
      <w:r>
        <w:rPr>
          <w:sz w:val="28"/>
          <w:szCs w:val="36"/>
        </w:rPr>
        <w:fldChar w:fldCharType="begin"/>
      </w:r>
      <w:r>
        <w:rPr>
          <w:sz w:val="28"/>
          <w:szCs w:val="36"/>
        </w:rPr>
        <w:instrText xml:space="preserve"> PAGEREF _Toc17842 \h </w:instrText>
      </w:r>
      <w:r>
        <w:rPr>
          <w:sz w:val="28"/>
          <w:szCs w:val="36"/>
        </w:rPr>
        <w:fldChar w:fldCharType="separate"/>
      </w:r>
      <w:r>
        <w:rPr>
          <w:sz w:val="28"/>
          <w:szCs w:val="36"/>
        </w:rPr>
        <w:t>12</w:t>
      </w:r>
      <w:r>
        <w:rPr>
          <w:sz w:val="28"/>
          <w:szCs w:val="36"/>
        </w:rPr>
        <w:fldChar w:fldCharType="end"/>
      </w:r>
      <w:r>
        <w:rPr>
          <w:rFonts w:hint="eastAsia" w:ascii="方正楷体_GBK" w:hAnsi="方正楷体_GBK" w:eastAsia="方正楷体_GBK" w:cs="方正楷体_GBK"/>
          <w:color w:val="000000"/>
          <w:sz w:val="28"/>
          <w:szCs w:val="56"/>
        </w:rPr>
        <w:fldChar w:fldCharType="end"/>
      </w:r>
    </w:p>
    <w:p>
      <w:pPr>
        <w:pStyle w:val="10"/>
        <w:keepNext w:val="0"/>
        <w:keepLines w:val="0"/>
        <w:pageBreakBefore w:val="0"/>
        <w:widowControl w:val="0"/>
        <w:tabs>
          <w:tab w:val="right" w:leader="dot" w:pos="8306"/>
        </w:tabs>
        <w:kinsoku/>
        <w:wordWrap/>
        <w:overflowPunct/>
        <w:topLinePunct w:val="0"/>
        <w:autoSpaceDE/>
        <w:autoSpaceDN/>
        <w:bidi w:val="0"/>
        <w:adjustRightInd/>
        <w:snapToGrid/>
        <w:ind w:firstLine="560" w:firstLineChars="200"/>
        <w:textAlignment w:val="auto"/>
        <w:rPr>
          <w:sz w:val="28"/>
          <w:szCs w:val="36"/>
        </w:rPr>
      </w:pPr>
      <w:r>
        <w:rPr>
          <w:rFonts w:hint="eastAsia" w:ascii="方正楷体_GBK" w:hAnsi="方正楷体_GBK" w:eastAsia="方正楷体_GBK" w:cs="方正楷体_GBK"/>
          <w:color w:val="000000"/>
          <w:sz w:val="28"/>
          <w:szCs w:val="56"/>
        </w:rPr>
        <w:fldChar w:fldCharType="begin"/>
      </w:r>
      <w:r>
        <w:rPr>
          <w:rFonts w:hint="eastAsia" w:ascii="方正楷体_GBK" w:hAnsi="方正楷体_GBK" w:eastAsia="方正楷体_GBK" w:cs="方正楷体_GBK"/>
          <w:sz w:val="28"/>
          <w:szCs w:val="56"/>
        </w:rPr>
        <w:instrText xml:space="preserve"> HYPERLINK \l _Toc4467 </w:instrText>
      </w:r>
      <w:r>
        <w:rPr>
          <w:rFonts w:hint="eastAsia" w:ascii="方正楷体_GBK" w:hAnsi="方正楷体_GBK" w:eastAsia="方正楷体_GBK" w:cs="方正楷体_GBK"/>
          <w:sz w:val="28"/>
          <w:szCs w:val="56"/>
        </w:rPr>
        <w:fldChar w:fldCharType="separate"/>
      </w:r>
      <w:r>
        <w:rPr>
          <w:rFonts w:hint="eastAsia" w:ascii="黑体" w:eastAsia="黑体"/>
          <w:sz w:val="28"/>
          <w:szCs w:val="48"/>
          <w:lang w:eastAsia="zh-CN"/>
        </w:rPr>
        <w:t>五．异议处理</w:t>
      </w:r>
      <w:r>
        <w:rPr>
          <w:sz w:val="28"/>
          <w:szCs w:val="36"/>
        </w:rPr>
        <w:tab/>
      </w:r>
      <w:r>
        <w:rPr>
          <w:sz w:val="28"/>
          <w:szCs w:val="36"/>
        </w:rPr>
        <w:fldChar w:fldCharType="begin"/>
      </w:r>
      <w:r>
        <w:rPr>
          <w:sz w:val="28"/>
          <w:szCs w:val="36"/>
        </w:rPr>
        <w:instrText xml:space="preserve"> PAGEREF _Toc4467 \h </w:instrText>
      </w:r>
      <w:r>
        <w:rPr>
          <w:sz w:val="28"/>
          <w:szCs w:val="36"/>
        </w:rPr>
        <w:fldChar w:fldCharType="separate"/>
      </w:r>
      <w:r>
        <w:rPr>
          <w:sz w:val="28"/>
          <w:szCs w:val="36"/>
        </w:rPr>
        <w:t>15</w:t>
      </w:r>
      <w:r>
        <w:rPr>
          <w:sz w:val="28"/>
          <w:szCs w:val="36"/>
        </w:rPr>
        <w:fldChar w:fldCharType="end"/>
      </w:r>
      <w:r>
        <w:rPr>
          <w:rFonts w:hint="eastAsia" w:ascii="方正楷体_GBK" w:hAnsi="方正楷体_GBK" w:eastAsia="方正楷体_GBK" w:cs="方正楷体_GBK"/>
          <w:color w:val="000000"/>
          <w:sz w:val="28"/>
          <w:szCs w:val="56"/>
        </w:rPr>
        <w:fldChar w:fldCharType="end"/>
      </w:r>
    </w:p>
    <w:p>
      <w:pPr>
        <w:rPr>
          <w:rFonts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28"/>
          <w:szCs w:val="56"/>
        </w:rPr>
        <w:fldChar w:fldCharType="end"/>
      </w:r>
    </w:p>
    <w:p>
      <w:pPr>
        <w:pStyle w:val="2"/>
        <w:rPr>
          <w:rFonts w:ascii="宋体" w:hAnsi="宋体" w:cs="仿宋_GB2312"/>
          <w:color w:val="000000"/>
          <w:sz w:val="28"/>
          <w:szCs w:val="180"/>
        </w:rPr>
        <w:sectPr>
          <w:footerReference r:id="rId3" w:type="default"/>
          <w:pgSz w:w="11906" w:h="16838"/>
          <w:pgMar w:top="1440" w:right="1800" w:bottom="1440" w:left="1800" w:header="851" w:footer="992" w:gutter="0"/>
          <w:cols w:space="425" w:num="1"/>
          <w:docGrid w:type="lines" w:linePitch="312" w:charSpace="0"/>
        </w:sectPr>
      </w:pPr>
    </w:p>
    <w:p>
      <w:pPr>
        <w:pStyle w:val="12"/>
        <w:keepNext w:val="0"/>
        <w:keepLines w:val="0"/>
        <w:pageBreakBefore w:val="0"/>
        <w:widowControl w:val="0"/>
        <w:kinsoku/>
        <w:wordWrap/>
        <w:overflowPunct/>
        <w:topLinePunct w:val="0"/>
        <w:autoSpaceDE/>
        <w:autoSpaceDN/>
        <w:bidi w:val="0"/>
        <w:spacing w:before="312" w:beforeLines="100" w:after="312" w:afterLines="100" w:line="580" w:lineRule="exact"/>
        <w:textAlignment w:val="auto"/>
        <w:rPr>
          <w:rFonts w:ascii="黑体" w:hAnsi="黑体" w:eastAsia="黑体"/>
          <w:color w:val="000000" w:themeColor="text1"/>
          <w:sz w:val="36"/>
          <w:szCs w:val="36"/>
          <w14:textFill>
            <w14:solidFill>
              <w14:schemeClr w14:val="tx1"/>
            </w14:solidFill>
          </w14:textFill>
        </w:rPr>
      </w:pPr>
      <w:bookmarkStart w:id="0" w:name="_Toc14182"/>
      <w:r>
        <w:rPr>
          <w:rFonts w:hint="eastAsia" w:ascii="黑体" w:hAnsi="黑体" w:eastAsia="黑体"/>
          <w:color w:val="000000" w:themeColor="text1"/>
          <w:sz w:val="36"/>
          <w:szCs w:val="36"/>
          <w14:textFill>
            <w14:solidFill>
              <w14:schemeClr w14:val="tx1"/>
            </w14:solidFill>
          </w14:textFill>
        </w:rPr>
        <w:t>前言</w:t>
      </w:r>
      <w:bookmarkEnd w:id="0"/>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color w:val="000000"/>
          <w:sz w:val="32"/>
          <w:szCs w:val="32"/>
        </w:rPr>
      </w:pPr>
      <w:r>
        <w:rPr>
          <w:rFonts w:hint="eastAsia" w:eastAsia="仿宋_GB2312"/>
          <w:color w:val="000000"/>
          <w:sz w:val="32"/>
          <w:szCs w:val="32"/>
        </w:rPr>
        <w:t>本业务指南根据《电力中长期交易基本规则》（发改能源规〔2020〕889号）</w:t>
      </w:r>
      <w:r>
        <w:rPr>
          <w:rFonts w:hint="eastAsia" w:eastAsia="仿宋_GB2312"/>
          <w:color w:val="000000"/>
          <w:sz w:val="32"/>
          <w:szCs w:val="32"/>
          <w:lang w:eastAsia="zh-CN"/>
        </w:rPr>
        <w:t>、</w:t>
      </w:r>
      <w:r>
        <w:rPr>
          <w:rFonts w:hint="eastAsia" w:eastAsia="仿宋_GB2312"/>
          <w:color w:val="000000"/>
          <w:sz w:val="32"/>
          <w:szCs w:val="32"/>
        </w:rPr>
        <w:t>《售电公司管理办法》（发改体改规〔2021〕1595号）</w:t>
      </w:r>
      <w:r>
        <w:rPr>
          <w:rFonts w:hint="eastAsia" w:eastAsia="仿宋_GB2312"/>
          <w:color w:val="000000"/>
          <w:sz w:val="32"/>
          <w:szCs w:val="32"/>
          <w:lang w:eastAsia="zh-CN"/>
        </w:rPr>
        <w:t>、</w:t>
      </w:r>
      <w:r>
        <w:rPr>
          <w:rFonts w:hint="eastAsia" w:eastAsia="仿宋_GB2312"/>
          <w:color w:val="000000"/>
          <w:sz w:val="32"/>
          <w:szCs w:val="32"/>
        </w:rPr>
        <w:t>《电力市场运行基本规则》（</w:t>
      </w:r>
      <w:r>
        <w:rPr>
          <w:rFonts w:hint="eastAsia" w:eastAsia="仿宋_GB2312"/>
          <w:color w:val="000000"/>
          <w:sz w:val="32"/>
          <w:szCs w:val="32"/>
          <w:lang w:eastAsia="zh-CN"/>
        </w:rPr>
        <w:t>国家发展改革委员会</w:t>
      </w:r>
      <w:r>
        <w:rPr>
          <w:rFonts w:hint="eastAsia" w:eastAsia="仿宋_GB2312"/>
          <w:color w:val="000000"/>
          <w:sz w:val="32"/>
          <w:szCs w:val="32"/>
        </w:rPr>
        <w:t>2024年第20号令）</w:t>
      </w:r>
      <w:r>
        <w:rPr>
          <w:rFonts w:hint="eastAsia" w:eastAsia="仿宋_GB2312"/>
          <w:color w:val="000000"/>
          <w:sz w:val="32"/>
          <w:szCs w:val="32"/>
          <w:lang w:eastAsia="zh-CN"/>
        </w:rPr>
        <w:t>、</w:t>
      </w:r>
      <w:r>
        <w:rPr>
          <w:rFonts w:hint="eastAsia" w:eastAsia="仿宋_GB2312"/>
          <w:color w:val="000000"/>
          <w:sz w:val="32"/>
          <w:szCs w:val="32"/>
        </w:rPr>
        <w:t>《电力市场注册基本规则》（国能发监管规〔2024〕76号〕）等相关文件制定，适用于在安徽省参与电力市场交易的各类经营主体办理市场注册业务。</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color w:val="000000"/>
          <w:sz w:val="32"/>
          <w:szCs w:val="32"/>
        </w:rPr>
      </w:pPr>
      <w:r>
        <w:rPr>
          <w:rFonts w:hint="eastAsia" w:eastAsia="仿宋_GB2312"/>
          <w:color w:val="000000"/>
          <w:sz w:val="32"/>
          <w:szCs w:val="32"/>
        </w:rPr>
        <w:t>本业务指南所称的市场注册业务是指经营主体在安徽电力交易平台（以下简称“电力交易平台”）办理的市场注册、信息变更、市场注销</w:t>
      </w:r>
      <w:r>
        <w:rPr>
          <w:rFonts w:hint="eastAsia" w:eastAsia="仿宋_GB2312"/>
          <w:color w:val="000000"/>
          <w:sz w:val="32"/>
          <w:szCs w:val="32"/>
          <w:lang w:eastAsia="zh-CN"/>
        </w:rPr>
        <w:t>等</w:t>
      </w:r>
      <w:r>
        <w:rPr>
          <w:rFonts w:hint="eastAsia" w:eastAsia="仿宋_GB2312"/>
          <w:color w:val="000000"/>
          <w:sz w:val="32"/>
          <w:szCs w:val="32"/>
        </w:rPr>
        <w:t>业务。</w:t>
      </w:r>
    </w:p>
    <w:p>
      <w:pPr>
        <w:pStyle w:val="2"/>
        <w:keepNext w:val="0"/>
        <w:keepLines w:val="0"/>
        <w:pageBreakBefore w:val="0"/>
        <w:widowControl w:val="0"/>
        <w:kinsoku/>
        <w:wordWrap/>
        <w:overflowPunct/>
        <w:topLinePunct w:val="0"/>
        <w:autoSpaceDE/>
        <w:autoSpaceDN/>
        <w:bidi w:val="0"/>
        <w:spacing w:line="580" w:lineRule="exact"/>
        <w:textAlignment w:val="auto"/>
      </w:pPr>
    </w:p>
    <w:p>
      <w:pPr>
        <w:pStyle w:val="2"/>
        <w:keepNext w:val="0"/>
        <w:keepLines w:val="0"/>
        <w:pageBreakBefore w:val="0"/>
        <w:widowControl w:val="0"/>
        <w:kinsoku/>
        <w:wordWrap/>
        <w:overflowPunct/>
        <w:topLinePunct w:val="0"/>
        <w:autoSpaceDE/>
        <w:autoSpaceDN/>
        <w:bidi w:val="0"/>
        <w:spacing w:line="580" w:lineRule="exact"/>
        <w:textAlignment w:val="auto"/>
      </w:pPr>
    </w:p>
    <w:p>
      <w:pPr>
        <w:pStyle w:val="2"/>
        <w:keepNext w:val="0"/>
        <w:keepLines w:val="0"/>
        <w:pageBreakBefore w:val="0"/>
        <w:widowControl w:val="0"/>
        <w:kinsoku/>
        <w:wordWrap/>
        <w:overflowPunct/>
        <w:topLinePunct w:val="0"/>
        <w:autoSpaceDE/>
        <w:autoSpaceDN/>
        <w:bidi w:val="0"/>
        <w:spacing w:line="580" w:lineRule="exact"/>
        <w:textAlignment w:val="auto"/>
      </w:pPr>
    </w:p>
    <w:p>
      <w:pPr>
        <w:pStyle w:val="2"/>
        <w:keepNext w:val="0"/>
        <w:keepLines w:val="0"/>
        <w:pageBreakBefore w:val="0"/>
        <w:widowControl w:val="0"/>
        <w:kinsoku/>
        <w:wordWrap/>
        <w:overflowPunct/>
        <w:topLinePunct w:val="0"/>
        <w:autoSpaceDE/>
        <w:autoSpaceDN/>
        <w:bidi w:val="0"/>
        <w:spacing w:line="580" w:lineRule="exact"/>
        <w:textAlignment w:val="auto"/>
      </w:pPr>
    </w:p>
    <w:p>
      <w:pPr>
        <w:pStyle w:val="2"/>
        <w:keepNext w:val="0"/>
        <w:keepLines w:val="0"/>
        <w:pageBreakBefore w:val="0"/>
        <w:widowControl w:val="0"/>
        <w:kinsoku/>
        <w:wordWrap/>
        <w:overflowPunct/>
        <w:topLinePunct w:val="0"/>
        <w:autoSpaceDE/>
        <w:autoSpaceDN/>
        <w:bidi w:val="0"/>
        <w:spacing w:line="580" w:lineRule="exact"/>
        <w:textAlignment w:val="auto"/>
      </w:pPr>
    </w:p>
    <w:p>
      <w:pPr>
        <w:pStyle w:val="2"/>
        <w:keepNext w:val="0"/>
        <w:keepLines w:val="0"/>
        <w:pageBreakBefore w:val="0"/>
        <w:widowControl w:val="0"/>
        <w:kinsoku/>
        <w:wordWrap/>
        <w:overflowPunct/>
        <w:topLinePunct w:val="0"/>
        <w:autoSpaceDE/>
        <w:autoSpaceDN/>
        <w:bidi w:val="0"/>
        <w:spacing w:line="580" w:lineRule="exact"/>
        <w:textAlignment w:val="auto"/>
      </w:pPr>
    </w:p>
    <w:p>
      <w:pPr>
        <w:pStyle w:val="2"/>
        <w:keepNext w:val="0"/>
        <w:keepLines w:val="0"/>
        <w:pageBreakBefore w:val="0"/>
        <w:widowControl w:val="0"/>
        <w:kinsoku/>
        <w:wordWrap/>
        <w:overflowPunct/>
        <w:topLinePunct w:val="0"/>
        <w:autoSpaceDE/>
        <w:autoSpaceDN/>
        <w:bidi w:val="0"/>
        <w:spacing w:line="580" w:lineRule="exact"/>
        <w:textAlignment w:val="auto"/>
      </w:pPr>
    </w:p>
    <w:p>
      <w:pPr>
        <w:pStyle w:val="2"/>
        <w:keepNext w:val="0"/>
        <w:keepLines w:val="0"/>
        <w:pageBreakBefore w:val="0"/>
        <w:widowControl w:val="0"/>
        <w:kinsoku/>
        <w:wordWrap/>
        <w:overflowPunct/>
        <w:topLinePunct w:val="0"/>
        <w:autoSpaceDE/>
        <w:autoSpaceDN/>
        <w:bidi w:val="0"/>
        <w:spacing w:line="580" w:lineRule="exact"/>
        <w:textAlignment w:val="auto"/>
      </w:pPr>
    </w:p>
    <w:p>
      <w:pPr>
        <w:pStyle w:val="2"/>
        <w:keepNext w:val="0"/>
        <w:keepLines w:val="0"/>
        <w:pageBreakBefore w:val="0"/>
        <w:widowControl w:val="0"/>
        <w:kinsoku/>
        <w:wordWrap/>
        <w:overflowPunct/>
        <w:topLinePunct w:val="0"/>
        <w:autoSpaceDE/>
        <w:autoSpaceDN/>
        <w:bidi w:val="0"/>
        <w:spacing w:line="580" w:lineRule="exact"/>
        <w:textAlignment w:val="auto"/>
        <w:sectPr>
          <w:footerReference r:id="rId4" w:type="default"/>
          <w:pgSz w:w="11906" w:h="16838"/>
          <w:pgMar w:top="1440" w:right="1800" w:bottom="1440" w:left="1800" w:header="851" w:footer="992" w:gutter="0"/>
          <w:cols w:space="425" w:num="1"/>
          <w:docGrid w:type="lines" w:linePitch="312" w:charSpace="0"/>
        </w:sectPr>
      </w:pPr>
    </w:p>
    <w:p>
      <w:pPr>
        <w:pStyle w:val="12"/>
        <w:keepNext w:val="0"/>
        <w:keepLines w:val="0"/>
        <w:pageBreakBefore w:val="0"/>
        <w:widowControl w:val="0"/>
        <w:kinsoku/>
        <w:wordWrap/>
        <w:overflowPunct/>
        <w:topLinePunct w:val="0"/>
        <w:autoSpaceDE/>
        <w:autoSpaceDN/>
        <w:bidi w:val="0"/>
        <w:spacing w:before="0" w:after="0" w:line="580" w:lineRule="exact"/>
        <w:ind w:firstLine="643" w:firstLineChars="200"/>
        <w:jc w:val="both"/>
        <w:textAlignment w:val="auto"/>
        <w:rPr>
          <w:rFonts w:ascii="黑体" w:eastAsia="黑体"/>
          <w:color w:val="000000"/>
          <w:sz w:val="32"/>
          <w:szCs w:val="32"/>
        </w:rPr>
      </w:pPr>
      <w:bookmarkStart w:id="1" w:name="_Toc913"/>
      <w:r>
        <w:rPr>
          <w:rFonts w:hint="eastAsia" w:ascii="黑体" w:eastAsia="黑体"/>
          <w:color w:val="000000"/>
          <w:sz w:val="32"/>
          <w:szCs w:val="32"/>
          <w:lang w:eastAsia="zh-CN"/>
        </w:rPr>
        <w:t>一．</w:t>
      </w:r>
      <w:r>
        <w:rPr>
          <w:rFonts w:hint="eastAsia" w:ascii="黑体" w:eastAsia="黑体"/>
          <w:color w:val="000000"/>
          <w:sz w:val="32"/>
          <w:szCs w:val="32"/>
        </w:rPr>
        <w:t>注册条件</w:t>
      </w:r>
      <w:bookmarkEnd w:id="1"/>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color w:val="000000"/>
          <w:sz w:val="32"/>
          <w:szCs w:val="32"/>
        </w:rPr>
      </w:pPr>
      <w:r>
        <w:rPr>
          <w:rFonts w:hint="eastAsia" w:eastAsia="仿宋_GB2312"/>
          <w:color w:val="000000"/>
          <w:sz w:val="32"/>
          <w:szCs w:val="32"/>
        </w:rPr>
        <w:t>经营主体应当是财务独立核算、能够独立承担民事责任的企业、经法人单位授权的内部核算主体、个体工商户、执行工商业电价或具有分布式电源的自然人等民事主体，提供有效身份证明证件及相关注册材料，可办理市场注册业务；若存在较严重的不良信用记录或者曾作出虚假承诺等情形的经营主体，在修复后方可办理市场注册业务。</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方正楷体_GBK" w:hAnsi="方正楷体_GBK" w:eastAsia="方正楷体_GBK" w:cs="方正楷体_GBK"/>
          <w:b/>
          <w:bCs/>
          <w:color w:val="000000"/>
          <w:sz w:val="32"/>
          <w:szCs w:val="32"/>
        </w:rPr>
      </w:pPr>
      <w:r>
        <w:rPr>
          <w:rFonts w:hint="eastAsia" w:ascii="方正楷体_GBK" w:hAnsi="方正楷体_GBK" w:eastAsia="方正楷体_GBK" w:cs="方正楷体_GBK"/>
          <w:b/>
          <w:bCs/>
          <w:color w:val="000000"/>
          <w:sz w:val="32"/>
          <w:szCs w:val="32"/>
        </w:rPr>
        <w:t>（一）发电企业</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依法取得发电项目核准或者备案文件，依法取得、按规定时限正在办理或者豁免电力业务许可证（发电类）；</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已与电网企业签订并网调度协议，接入电力调度自动化系统；</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具备相应的计量能力或者替代技术手段，满足电力市场计量和结算的要求；</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color w:val="000000"/>
          <w:sz w:val="32"/>
          <w:szCs w:val="32"/>
        </w:rPr>
      </w:pPr>
      <w:r>
        <w:rPr>
          <w:rFonts w:hint="eastAsia"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并网自备电厂取得电力业务许可证（发电类），达到能效、环保要求，可作为经营主体直接参与电力市场交易。</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b/>
          <w:bCs/>
          <w:color w:val="000000"/>
          <w:sz w:val="32"/>
          <w:szCs w:val="32"/>
        </w:rPr>
        <w:t>（二）售电公司</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依照《中华人民共和国公司法》登记注册的企业法人。</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资产要求</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（1）资产总额不得低于2千万元人民币。</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（2）资产总额在2千万元至1亿元（不含）人民币的，可以从事年售电量不超过30亿千瓦时的售电业务。</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（3）资产总额在1亿元至2亿元（不含）人民币的，可以从事年售电量不超过60亿千瓦时的售电业务。</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（4）资产总额在2亿元人民币以上的，不限制其售电量。</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从业人员</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售电公司应拥有10名及以上具有劳动关系的全职专业人员。专业人员应掌握电力系统基本技术、经济专业知识，具备风险管理、电能管理、节能管理、需求侧管理等能力，有电力、能源、经济、金融等行业3年及以上工作经验。其中，至少拥有1名高级职称和3名中级职称的专业管理人员，技术职称包括电力、经济、会计等相关专业。</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经营场所和技术支持系统</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售电公司应具有固定经营场所及能够满足参加市场交易的报价、信息报送、合同签订、客户服务等功能的电力市场技术支持系统和客户服务平台，参与电力批发市场的售电公司技术支持系统应能接入电力交易平台。</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信用要求</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售电公司法定代表人及主要股东具有良好的财务状况和信用记录，并按照规定要求做出信用承诺，确保诚实守信经营。董事、监事、高级管理人员、从业人员无失信被执行记录。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拥有配电网运营权的售电公司还需提供配电网电压等级、供电范围、电力业务许可证（供电类）等相关资料。除电网企业存量资产外，现有符合条件的高新产业园区、经济技术开发区和其他企业建设、运营配电网的，履行相应的注册程序后，可自愿转为拥有配电业务的售电公司。</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发电企业、电力建设企业、高新产业园区、经济技术开发区、供水、供气、供热等公共服务行业和节能服务公司所属售电公司（含全资、控股或参股）应当具有独立法人资格，独立运营。申请经营范围增项开展售电业务的，新开展的同一笔交易中不能同时作为买方和卖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rPr>
        <w:t>电网企业（含关联企业）所属售电公司（含全资、控股或参股）应当具有独立法人资格并且独立运营。</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法律、行政法规和地方性法规规定的其他条件。</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方正楷体_GBK" w:hAnsi="方正楷体_GBK" w:eastAsia="方正楷体_GBK" w:cs="方正楷体_GBK"/>
          <w:b/>
          <w:bCs/>
          <w:color w:val="000000"/>
          <w:sz w:val="32"/>
          <w:szCs w:val="32"/>
        </w:rPr>
      </w:pPr>
      <w:r>
        <w:rPr>
          <w:rFonts w:hint="eastAsia" w:ascii="方正楷体_GBK" w:hAnsi="方正楷体_GBK" w:eastAsia="方正楷体_GBK" w:cs="方正楷体_GBK"/>
          <w:b/>
          <w:bCs/>
          <w:color w:val="000000"/>
          <w:sz w:val="32"/>
          <w:szCs w:val="32"/>
        </w:rPr>
        <w:t>（三）电力用户</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工商业用户原则上全部直接参与电力市场交易，暂未直接参与市场交易的工商业用户按规定由电网企业代理购电；</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具备相应的计量能力或者替代技术手段，满足电力市场计量和结算的要求。</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方正楷体_GBK" w:hAnsi="方正楷体_GBK" w:eastAsia="方正楷体_GBK" w:cs="方正楷体_GBK"/>
          <w:b/>
          <w:color w:val="000000"/>
          <w:sz w:val="32"/>
          <w:szCs w:val="32"/>
        </w:rPr>
      </w:pPr>
      <w:r>
        <w:rPr>
          <w:rFonts w:hint="eastAsia" w:ascii="方正楷体_GBK" w:hAnsi="方正楷体_GBK" w:eastAsia="方正楷体_GBK" w:cs="方正楷体_GBK"/>
          <w:b/>
          <w:color w:val="000000"/>
          <w:sz w:val="32"/>
          <w:szCs w:val="32"/>
        </w:rPr>
        <w:t>（四）新型储能企业</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与电网企业签订并网调度协议，接入电力调度自动化系统；</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具备电力、电量数据分时计量与传输条件，数据准确性与可</w:t>
      </w:r>
      <w:r>
        <w:rPr>
          <w:rFonts w:hint="eastAsia" w:ascii="仿宋_GB2312" w:hAnsi="仿宋_GB2312" w:eastAsia="仿宋_GB2312" w:cs="仿宋_GB2312"/>
          <w:color w:val="000000"/>
          <w:sz w:val="32"/>
          <w:szCs w:val="32"/>
          <w:highlight w:val="none"/>
        </w:rPr>
        <w:t>靠性满足结算要求；</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3</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参与电能量市场、辅助服务市场、容量市场的最大充放电功率不低于5MW，最大调节容量不低于5MWh，持续充电时间不低于1小时；</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color w:val="000000"/>
          <w:sz w:val="32"/>
          <w:szCs w:val="32"/>
          <w:highlight w:val="none"/>
        </w:rPr>
      </w:pPr>
      <w:r>
        <w:rPr>
          <w:rFonts w:hint="eastAsia" w:ascii="仿宋_GB2312" w:hAnsi="仿宋_GB2312" w:eastAsia="仿宋_GB2312" w:cs="仿宋_GB2312"/>
          <w:color w:val="000000"/>
          <w:sz w:val="32"/>
          <w:szCs w:val="32"/>
          <w:highlight w:val="none"/>
        </w:rPr>
        <w:t>4</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配建新型储能与所属经营主体视为一体，具备独立计量、控制等技术条件，接入电力调度自动化系统可被电网监控和调度，具有法人资格时可选择转为独立新型储能项目，作为经营主体直接参与电力市场交易。</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方正楷体_GBK" w:hAnsi="方正楷体_GBK" w:eastAsia="方正楷体_GBK" w:cs="方正楷体_GBK"/>
          <w:b/>
          <w:bCs/>
          <w:color w:val="000000"/>
          <w:sz w:val="32"/>
          <w:szCs w:val="32"/>
          <w:highlight w:val="none"/>
        </w:rPr>
      </w:pPr>
      <w:r>
        <w:rPr>
          <w:rFonts w:hint="eastAsia" w:ascii="方正楷体_GBK" w:hAnsi="方正楷体_GBK" w:eastAsia="方正楷体_GBK" w:cs="方正楷体_GBK"/>
          <w:b/>
          <w:bCs/>
          <w:color w:val="000000"/>
          <w:sz w:val="32"/>
          <w:szCs w:val="32"/>
          <w:highlight w:val="none"/>
        </w:rPr>
        <w:t>（五）虚拟电厂（</w:t>
      </w:r>
      <w:r>
        <w:rPr>
          <w:rFonts w:hint="eastAsia" w:ascii="方正楷体_GBK" w:hAnsi="方正楷体_GBK" w:eastAsia="方正楷体_GBK" w:cs="方正楷体_GBK"/>
          <w:b/>
          <w:bCs/>
          <w:color w:val="000000"/>
          <w:sz w:val="32"/>
          <w:szCs w:val="32"/>
          <w:highlight w:val="none"/>
          <w:lang w:eastAsia="zh-CN"/>
        </w:rPr>
        <w:t>含能源聚合商</w:t>
      </w:r>
      <w:r>
        <w:rPr>
          <w:rFonts w:hint="eastAsia" w:ascii="方正楷体_GBK" w:hAnsi="方正楷体_GBK" w:eastAsia="方正楷体_GBK" w:cs="方正楷体_GBK"/>
          <w:b/>
          <w:bCs/>
          <w:color w:val="000000"/>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1</w:t>
      </w:r>
      <w:r>
        <w:rPr>
          <w:rFonts w:hint="eastAsia" w:ascii="仿宋_GB2312" w:hAnsi="仿宋_GB2312" w:eastAsia="仿宋_GB2312" w:cs="仿宋_GB2312"/>
          <w:color w:val="000000"/>
          <w:sz w:val="32"/>
          <w:szCs w:val="32"/>
          <w:highlight w:val="none"/>
          <w:lang w:eastAsia="zh-CN"/>
        </w:rPr>
        <w:t>.与电网企业签订负荷确认协议或并网调度协议，接入新型电力负荷管理系统或电力调度自动化系统</w:t>
      </w:r>
      <w:r>
        <w:rPr>
          <w:rFonts w:hint="eastAsia" w:ascii="仿宋_GB2312" w:hAnsi="仿宋_GB2312" w:eastAsia="仿宋_GB2312" w:cs="仿宋_GB2312"/>
          <w:color w:val="000000"/>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2</w:t>
      </w:r>
      <w:r>
        <w:rPr>
          <w:rFonts w:hint="eastAsia" w:ascii="仿宋_GB2312" w:hAnsi="仿宋_GB2312" w:eastAsia="仿宋_GB2312" w:cs="仿宋_GB2312"/>
          <w:color w:val="000000"/>
          <w:sz w:val="32"/>
          <w:szCs w:val="32"/>
          <w:highlight w:val="none"/>
          <w:lang w:eastAsia="zh-CN"/>
        </w:rPr>
        <w:t>.具备电力、电量数据分时计量与传输条件，数据准确性与可靠性满足结算要求</w:t>
      </w:r>
      <w:r>
        <w:rPr>
          <w:rFonts w:hint="eastAsia" w:ascii="仿宋_GB2312" w:hAnsi="仿宋_GB2312" w:eastAsia="仿宋_GB2312" w:cs="仿宋_GB2312"/>
          <w:color w:val="000000"/>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3</w:t>
      </w:r>
      <w:r>
        <w:rPr>
          <w:rFonts w:hint="eastAsia" w:ascii="仿宋_GB2312" w:hAnsi="仿宋_GB2312" w:eastAsia="仿宋_GB2312" w:cs="仿宋_GB2312"/>
          <w:color w:val="000000"/>
          <w:sz w:val="32"/>
          <w:szCs w:val="32"/>
          <w:highlight w:val="none"/>
          <w:lang w:eastAsia="zh-CN"/>
        </w:rPr>
        <w:t>.具备聚合可调节负荷以及分布式电源、新型储能等资源的能力</w:t>
      </w:r>
      <w:r>
        <w:rPr>
          <w:rFonts w:hint="eastAsia" w:ascii="仿宋_GB2312" w:hAnsi="仿宋_GB2312" w:eastAsia="仿宋_GB2312" w:cs="仿宋_GB2312"/>
          <w:color w:val="000000"/>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4</w:t>
      </w:r>
      <w:r>
        <w:rPr>
          <w:rFonts w:hint="eastAsia" w:ascii="仿宋_GB2312" w:hAnsi="仿宋_GB2312" w:eastAsia="仿宋_GB2312" w:cs="仿宋_GB2312"/>
          <w:color w:val="000000"/>
          <w:sz w:val="32"/>
          <w:szCs w:val="32"/>
          <w:highlight w:val="none"/>
          <w:lang w:eastAsia="zh-CN"/>
        </w:rPr>
        <w:t>.具备对聚合资源的调节或控制能力，拥有具备信息处理、运行监控、业务管理、计量监管、控制执行等功能的软硬件系统</w:t>
      </w:r>
      <w:r>
        <w:rPr>
          <w:rFonts w:hint="eastAsia" w:ascii="仿宋_GB2312" w:hAnsi="仿宋_GB2312" w:eastAsia="仿宋_GB2312" w:cs="仿宋_GB2312"/>
          <w:color w:val="000000"/>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highlight w:val="none"/>
        </w:rPr>
        <w:t>5</w:t>
      </w:r>
      <w:r>
        <w:rPr>
          <w:rFonts w:hint="eastAsia" w:ascii="仿宋_GB2312" w:hAnsi="仿宋_GB2312" w:eastAsia="仿宋_GB2312" w:cs="仿宋_GB2312"/>
          <w:color w:val="000000"/>
          <w:sz w:val="32"/>
          <w:szCs w:val="32"/>
          <w:highlight w:val="none"/>
          <w:lang w:eastAsia="zh-CN"/>
        </w:rPr>
        <w:t>.聚合范围、调节性能等条件应满足</w:t>
      </w:r>
      <w:r>
        <w:rPr>
          <w:rFonts w:hint="eastAsia" w:ascii="仿宋_GB2312" w:hAnsi="仿宋_GB2312" w:eastAsia="仿宋_GB2312" w:cs="仿宋_GB2312"/>
          <w:color w:val="000000"/>
          <w:sz w:val="32"/>
          <w:szCs w:val="32"/>
          <w:highlight w:val="none"/>
          <w:lang w:val="en-US" w:eastAsia="zh-CN"/>
        </w:rPr>
        <w:t>安徽电力</w:t>
      </w:r>
      <w:r>
        <w:rPr>
          <w:rFonts w:hint="eastAsia" w:ascii="仿宋_GB2312" w:hAnsi="仿宋_GB2312" w:eastAsia="仿宋_GB2312" w:cs="仿宋_GB2312"/>
          <w:color w:val="000000"/>
          <w:sz w:val="32"/>
          <w:szCs w:val="32"/>
          <w:highlight w:val="none"/>
          <w:lang w:eastAsia="zh-CN"/>
        </w:rPr>
        <w:t>市场的相关规则规定</w:t>
      </w:r>
      <w:r>
        <w:rPr>
          <w:rFonts w:hint="eastAsia" w:ascii="仿宋_GB2312" w:hAnsi="仿宋_GB2312" w:eastAsia="仿宋_GB2312" w:cs="仿宋_GB2312"/>
          <w:color w:val="000000"/>
          <w:sz w:val="32"/>
          <w:szCs w:val="32"/>
          <w:highlight w:val="none"/>
        </w:rPr>
        <w:t>。</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方正楷体_GBK" w:hAnsi="方正楷体_GBK" w:eastAsia="方正楷体_GBK" w:cs="方正楷体_GBK"/>
          <w:b/>
          <w:bCs/>
          <w:color w:val="000000"/>
          <w:sz w:val="32"/>
          <w:szCs w:val="32"/>
          <w:highlight w:val="none"/>
        </w:rPr>
      </w:pPr>
      <w:r>
        <w:rPr>
          <w:rFonts w:hint="eastAsia" w:ascii="方正楷体_GBK" w:hAnsi="方正楷体_GBK" w:eastAsia="方正楷体_GBK" w:cs="方正楷体_GBK"/>
          <w:b/>
          <w:bCs/>
          <w:color w:val="000000"/>
          <w:sz w:val="32"/>
          <w:szCs w:val="32"/>
          <w:highlight w:val="none"/>
        </w:rPr>
        <w:t>（六）分布式电源</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eastAsia="仿宋_GB2312"/>
          <w:color w:val="000000"/>
          <w:sz w:val="32"/>
          <w:szCs w:val="32"/>
          <w:highlight w:val="none"/>
        </w:rPr>
        <w:t>1</w:t>
      </w:r>
      <w:r>
        <w:rPr>
          <w:rFonts w:hint="eastAsia" w:eastAsia="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依法取得发电项目核准或者备案文件；</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highlight w:val="none"/>
        </w:rPr>
        <w:t>2</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与电网企业签订负荷确认协议或并网调度协议，根据电压等级标准接入新型电力负荷管理系统或电力调度自</w:t>
      </w:r>
      <w:r>
        <w:rPr>
          <w:rFonts w:hint="eastAsia" w:ascii="仿宋_GB2312" w:hAnsi="仿宋_GB2312" w:eastAsia="仿宋_GB2312" w:cs="仿宋_GB2312"/>
          <w:color w:val="000000"/>
          <w:sz w:val="32"/>
          <w:szCs w:val="32"/>
        </w:rPr>
        <w:t>动化系统；</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具备相应的计量能力或者替代技术手段，满足电力市场计量和结算的要求。</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方正楷体_GBK" w:hAnsi="方正楷体_GBK" w:eastAsia="方正楷体_GBK" w:cs="方正楷体_GBK"/>
          <w:b/>
          <w:bCs/>
          <w:color w:val="000000"/>
          <w:sz w:val="32"/>
          <w:szCs w:val="32"/>
        </w:rPr>
      </w:pPr>
      <w:r>
        <w:rPr>
          <w:rFonts w:hint="eastAsia" w:ascii="方正楷体_GBK" w:hAnsi="方正楷体_GBK" w:eastAsia="方正楷体_GBK" w:cs="方正楷体_GBK"/>
          <w:b/>
          <w:bCs/>
          <w:color w:val="000000"/>
          <w:sz w:val="32"/>
          <w:szCs w:val="32"/>
        </w:rPr>
        <w:t>（七）电动汽车充电设施</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具备相应的计量能力或者替代技术手段，满足电力市场计量和结算的要求；</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有放电能力的电动汽车充电设施，与电网企业签订负荷确认协议，接入新型电力负荷管理系统。</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方正楷体_GBK" w:hAnsi="方正楷体_GBK" w:eastAsia="方正楷体_GBK" w:cs="方正楷体_GBK"/>
          <w:b/>
          <w:bCs/>
          <w:color w:val="000000"/>
          <w:sz w:val="32"/>
          <w:szCs w:val="32"/>
        </w:rPr>
      </w:pPr>
      <w:r>
        <w:rPr>
          <w:rFonts w:hint="eastAsia" w:ascii="方正楷体_GBK" w:hAnsi="方正楷体_GBK" w:eastAsia="方正楷体_GBK" w:cs="方正楷体_GBK"/>
          <w:b/>
          <w:bCs/>
          <w:color w:val="000000"/>
          <w:sz w:val="32"/>
          <w:szCs w:val="32"/>
        </w:rPr>
        <w:t>（八）智能微电网</w:t>
      </w:r>
      <w:r>
        <w:rPr>
          <w:rFonts w:hint="eastAsia" w:ascii="方正楷体_GBK" w:hAnsi="方正楷体_GBK" w:eastAsia="方正楷体_GBK" w:cs="方正楷体_GBK"/>
          <w:b/>
          <w:bCs/>
          <w:color w:val="000000"/>
          <w:sz w:val="32"/>
          <w:szCs w:val="32"/>
          <w:lang w:val="en-US" w:eastAsia="zh-CN"/>
        </w:rPr>
        <w:t>主体</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rPr>
      </w:pPr>
      <w:r>
        <w:rPr>
          <w:rFonts w:hint="eastAsia" w:eastAsia="仿宋_GB2312"/>
          <w:color w:val="000000"/>
          <w:sz w:val="32"/>
          <w:szCs w:val="32"/>
          <w:highlight w:val="none"/>
        </w:rPr>
        <w:t>初期参照电力用户基本条件执行，后期视国家有关规定进行调整。</w:t>
      </w:r>
    </w:p>
    <w:p>
      <w:pPr>
        <w:pStyle w:val="12"/>
        <w:keepNext w:val="0"/>
        <w:keepLines w:val="0"/>
        <w:pageBreakBefore w:val="0"/>
        <w:widowControl w:val="0"/>
        <w:kinsoku/>
        <w:wordWrap/>
        <w:overflowPunct/>
        <w:topLinePunct w:val="0"/>
        <w:autoSpaceDE/>
        <w:autoSpaceDN/>
        <w:bidi w:val="0"/>
        <w:spacing w:before="0" w:after="0" w:line="580" w:lineRule="exact"/>
        <w:ind w:firstLine="643" w:firstLineChars="200"/>
        <w:jc w:val="both"/>
        <w:textAlignment w:val="auto"/>
        <w:rPr>
          <w:rFonts w:hint="eastAsia" w:ascii="黑体" w:eastAsia="黑体"/>
          <w:color w:val="000000"/>
          <w:sz w:val="32"/>
          <w:szCs w:val="32"/>
          <w:lang w:eastAsia="zh-CN"/>
        </w:rPr>
      </w:pPr>
      <w:bookmarkStart w:id="2" w:name="_Toc15925"/>
      <w:r>
        <w:rPr>
          <w:rFonts w:hint="eastAsia" w:ascii="黑体" w:eastAsia="黑体"/>
          <w:color w:val="000000"/>
          <w:sz w:val="32"/>
          <w:szCs w:val="32"/>
          <w:lang w:eastAsia="zh-CN"/>
        </w:rPr>
        <w:t>二．市场注册</w:t>
      </w:r>
      <w:bookmarkEnd w:id="2"/>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color w:val="000000"/>
          <w:sz w:val="32"/>
          <w:szCs w:val="32"/>
        </w:rPr>
      </w:pPr>
      <w:r>
        <w:rPr>
          <w:rFonts w:hint="eastAsia" w:eastAsia="仿宋_GB2312"/>
          <w:color w:val="000000"/>
          <w:sz w:val="32"/>
          <w:szCs w:val="32"/>
        </w:rPr>
        <w:t>在安徽电力交易中心办理市场注册</w:t>
      </w:r>
      <w:r>
        <w:rPr>
          <w:rFonts w:hint="eastAsia" w:eastAsia="仿宋_GB2312"/>
          <w:color w:val="000000"/>
          <w:sz w:val="32"/>
          <w:szCs w:val="32"/>
          <w:lang w:eastAsia="zh-CN"/>
        </w:rPr>
        <w:t>的</w:t>
      </w:r>
      <w:r>
        <w:rPr>
          <w:rFonts w:hint="eastAsia" w:eastAsia="仿宋_GB2312"/>
          <w:color w:val="000000"/>
          <w:sz w:val="32"/>
          <w:szCs w:val="32"/>
        </w:rPr>
        <w:t>经营主体</w:t>
      </w:r>
      <w:r>
        <w:rPr>
          <w:rFonts w:hint="eastAsia" w:eastAsia="仿宋_GB2312"/>
          <w:color w:val="000000"/>
          <w:sz w:val="32"/>
          <w:szCs w:val="32"/>
          <w:lang w:eastAsia="zh-CN"/>
        </w:rPr>
        <w:t>，</w:t>
      </w:r>
      <w:r>
        <w:rPr>
          <w:rFonts w:hint="eastAsia" w:eastAsia="仿宋_GB2312"/>
          <w:color w:val="000000"/>
          <w:sz w:val="32"/>
          <w:szCs w:val="32"/>
        </w:rPr>
        <w:t>应当符合注册条件</w:t>
      </w:r>
      <w:r>
        <w:rPr>
          <w:rFonts w:hint="eastAsia" w:eastAsia="仿宋_GB2312"/>
          <w:color w:val="000000"/>
          <w:sz w:val="32"/>
          <w:szCs w:val="32"/>
          <w:lang w:eastAsia="zh-CN"/>
        </w:rPr>
        <w:t>后</w:t>
      </w:r>
      <w:r>
        <w:rPr>
          <w:rFonts w:hint="eastAsia" w:eastAsia="仿宋_GB2312"/>
          <w:color w:val="000000"/>
          <w:sz w:val="32"/>
          <w:szCs w:val="32"/>
        </w:rPr>
        <w:t>，参与电力市场交易。具有多重主体身份的经营主体，应当按经营主体类别分别进行注册。</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方正楷体_GBK" w:hAnsi="方正楷体_GBK" w:eastAsia="方正楷体_GBK" w:cs="方正楷体_GBK"/>
          <w:b/>
          <w:bCs/>
          <w:color w:val="000000"/>
          <w:sz w:val="32"/>
          <w:szCs w:val="32"/>
        </w:rPr>
      </w:pPr>
      <w:r>
        <w:rPr>
          <w:rFonts w:hint="eastAsia" w:ascii="方正楷体_GBK" w:hAnsi="方正楷体_GBK" w:eastAsia="方正楷体_GBK" w:cs="方正楷体_GBK"/>
          <w:b/>
          <w:bCs/>
          <w:color w:val="000000"/>
          <w:sz w:val="32"/>
          <w:szCs w:val="32"/>
        </w:rPr>
        <w:t>（一）注册程序</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color w:val="000000"/>
          <w:sz w:val="32"/>
          <w:szCs w:val="32"/>
        </w:rPr>
      </w:pPr>
      <w:r>
        <w:rPr>
          <w:rFonts w:hint="eastAsia" w:eastAsia="仿宋_GB2312"/>
          <w:color w:val="000000"/>
          <w:sz w:val="32"/>
          <w:szCs w:val="32"/>
        </w:rPr>
        <w:t>经营主体市场注册按照申请、承诺、审查、公示、生效的流程办理。</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rPr>
        <w:t>注册申请</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经营主体通过</w:t>
      </w:r>
      <w:r>
        <w:rPr>
          <w:rFonts w:hint="eastAsia" w:ascii="仿宋_GB2312" w:hAnsi="仿宋_GB2312" w:eastAsia="仿宋_GB2312" w:cs="仿宋_GB2312"/>
          <w:sz w:val="32"/>
          <w:szCs w:val="32"/>
        </w:rPr>
        <w:t>电力交易平台</w:t>
      </w:r>
      <w:r>
        <w:rPr>
          <w:rFonts w:hint="eastAsia" w:ascii="仿宋_GB2312" w:hAnsi="仿宋_GB2312" w:eastAsia="仿宋_GB2312" w:cs="仿宋_GB2312"/>
          <w:color w:val="000000"/>
          <w:sz w:val="32"/>
          <w:szCs w:val="32"/>
        </w:rPr>
        <w:t>提交注册申请。按照经营主体注册条件</w:t>
      </w:r>
      <w:r>
        <w:rPr>
          <w:rFonts w:hint="eastAsia" w:ascii="仿宋_GB2312" w:hAnsi="仿宋_GB2312" w:eastAsia="仿宋_GB2312" w:cs="仿宋_GB2312"/>
          <w:color w:val="000000" w:themeColor="text1"/>
          <w:sz w:val="32"/>
          <w:szCs w:val="32"/>
          <w14:textFill>
            <w14:solidFill>
              <w14:schemeClr w14:val="tx1"/>
            </w14:solidFill>
          </w14:textFill>
        </w:rPr>
        <w:t>要</w:t>
      </w:r>
      <w:r>
        <w:rPr>
          <w:rFonts w:hint="eastAsia" w:ascii="仿宋_GB2312" w:hAnsi="仿宋_GB2312" w:eastAsia="仿宋_GB2312" w:cs="仿宋_GB2312"/>
          <w:color w:val="000000"/>
          <w:sz w:val="32"/>
          <w:szCs w:val="32"/>
        </w:rPr>
        <w:t>求，在电力交易平台将注册信息填写完整并上传注册材料。</w:t>
      </w:r>
      <w:r>
        <w:rPr>
          <w:rFonts w:hint="eastAsia" w:ascii="仿宋_GB2312" w:hAnsi="仿宋_GB2312" w:eastAsia="仿宋_GB2312" w:cs="仿宋_GB2312"/>
          <w:color w:val="000000"/>
          <w:sz w:val="32"/>
          <w:szCs w:val="32"/>
          <w:lang w:val="en-US" w:eastAsia="zh-CN"/>
        </w:rPr>
        <w:t>经营</w:t>
      </w:r>
      <w:r>
        <w:rPr>
          <w:rFonts w:hint="eastAsia" w:ascii="仿宋_GB2312" w:hAnsi="仿宋_GB2312" w:eastAsia="仿宋_GB2312" w:cs="仿宋_GB2312"/>
          <w:color w:val="000000"/>
          <w:sz w:val="32"/>
          <w:szCs w:val="32"/>
        </w:rPr>
        <w:t>主体应提交身份认证、联系方式等信息以及相关支撑性材料，签订</w:t>
      </w:r>
      <w:r>
        <w:rPr>
          <w:rFonts w:hint="eastAsia" w:ascii="仿宋_GB2312" w:hAnsi="仿宋_GB2312" w:eastAsia="仿宋_GB2312" w:cs="仿宋_GB2312"/>
          <w:color w:val="000000"/>
          <w:sz w:val="32"/>
          <w:szCs w:val="32"/>
          <w:highlight w:val="none"/>
        </w:rPr>
        <w:t>入市协议</w:t>
      </w:r>
      <w:r>
        <w:rPr>
          <w:rFonts w:hint="eastAsia" w:ascii="仿宋_GB2312" w:hAnsi="仿宋_GB2312" w:eastAsia="仿宋_GB2312" w:cs="仿宋_GB2312"/>
          <w:color w:val="000000"/>
          <w:sz w:val="32"/>
          <w:szCs w:val="32"/>
        </w:rPr>
        <w:t>等，对注册信息及材料的真实性、准确性、完整性负责。售电公司市场注册条件和流程按照《售电公司管理办法》规定执行，虚拟电厂（含</w:t>
      </w:r>
      <w:r>
        <w:rPr>
          <w:rFonts w:hint="eastAsia" w:ascii="仿宋_GB2312" w:hAnsi="仿宋_GB2312" w:eastAsia="仿宋_GB2312" w:cs="仿宋_GB2312"/>
          <w:color w:val="000000"/>
          <w:sz w:val="32"/>
          <w:szCs w:val="32"/>
          <w:lang w:eastAsia="zh-CN"/>
        </w:rPr>
        <w:t>能源聚合商</w:t>
      </w:r>
      <w:r>
        <w:rPr>
          <w:rFonts w:hint="eastAsia" w:ascii="仿宋_GB2312" w:hAnsi="仿宋_GB2312" w:eastAsia="仿宋_GB2312" w:cs="仿宋_GB2312"/>
          <w:color w:val="000000"/>
          <w:sz w:val="32"/>
          <w:szCs w:val="32"/>
        </w:rPr>
        <w:t>）初期参照《售电公司管理办法》执行。</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rPr>
        <w:t>信用承诺</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经营主体在</w:t>
      </w:r>
      <w:r>
        <w:rPr>
          <w:rFonts w:hint="eastAsia" w:ascii="仿宋_GB2312" w:hAnsi="仿宋_GB2312" w:eastAsia="仿宋_GB2312" w:cs="仿宋_GB2312"/>
          <w:sz w:val="32"/>
          <w:szCs w:val="32"/>
        </w:rPr>
        <w:t>电力交易平台</w:t>
      </w:r>
      <w:r>
        <w:rPr>
          <w:rFonts w:hint="eastAsia" w:ascii="仿宋_GB2312" w:hAnsi="仿宋_GB2312" w:eastAsia="仿宋_GB2312" w:cs="仿宋_GB2312"/>
          <w:color w:val="000000"/>
          <w:sz w:val="32"/>
          <w:szCs w:val="32"/>
        </w:rPr>
        <w:t>下载固定格式的信用承诺书准确填写相关信息。承诺书由本单位法定代表人</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或负责人</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签字并加盖单位公章，电子扫描件通过电力交易平台上传，与其他注册资料一并提交。</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val="en-US" w:eastAsia="zh-CN"/>
        </w:rPr>
        <w:t>3.</w:t>
      </w:r>
      <w:r>
        <w:rPr>
          <w:rFonts w:hint="eastAsia" w:ascii="仿宋_GB2312" w:hAnsi="仿宋_GB2312" w:eastAsia="仿宋_GB2312" w:cs="仿宋_GB2312"/>
          <w:b/>
          <w:bCs/>
          <w:color w:val="000000"/>
          <w:sz w:val="32"/>
          <w:szCs w:val="32"/>
        </w:rPr>
        <w:t>注册审查</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安徽电力交易中心收到经营主体提交的市场注册申请和注册材料后，在5个工作日内进行审查，必要时组织对经营主体进行现场核验。对于市场注册材料不符合要求的，</w:t>
      </w:r>
      <w:r>
        <w:rPr>
          <w:rFonts w:hint="eastAsia" w:ascii="仿宋_GB2312" w:hAnsi="仿宋_GB2312" w:eastAsia="仿宋_GB2312" w:cs="仿宋_GB2312"/>
          <w:sz w:val="32"/>
          <w:szCs w:val="32"/>
        </w:rPr>
        <w:t>以短信或电话的方式</w:t>
      </w:r>
      <w:r>
        <w:rPr>
          <w:rFonts w:hint="eastAsia" w:ascii="仿宋_GB2312" w:hAnsi="仿宋_GB2312" w:eastAsia="仿宋_GB2312" w:cs="仿宋_GB2312"/>
          <w:color w:val="000000"/>
          <w:sz w:val="32"/>
          <w:szCs w:val="32"/>
        </w:rPr>
        <w:t>予以一次性告知。</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val="en-US" w:eastAsia="zh-CN"/>
        </w:rPr>
        <w:t>4.</w:t>
      </w:r>
      <w:r>
        <w:rPr>
          <w:rFonts w:hint="eastAsia" w:ascii="仿宋_GB2312" w:hAnsi="仿宋_GB2312" w:eastAsia="仿宋_GB2312" w:cs="仿宋_GB2312"/>
          <w:b/>
          <w:bCs/>
          <w:color w:val="000000"/>
          <w:sz w:val="32"/>
          <w:szCs w:val="32"/>
        </w:rPr>
        <w:t>注册公示</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市场注册审查通过的发电企业、电力用户、新型储能企业、分布式电源、电动汽车充电设施经营主体无需公示。售电公司按照《售电公司管理办法》规定执行，公示期1个月。虚拟电厂（含</w:t>
      </w:r>
      <w:r>
        <w:rPr>
          <w:rFonts w:hint="eastAsia" w:ascii="仿宋_GB2312" w:hAnsi="仿宋_GB2312" w:eastAsia="仿宋_GB2312" w:cs="仿宋_GB2312"/>
          <w:color w:val="000000"/>
          <w:sz w:val="32"/>
          <w:szCs w:val="32"/>
          <w:lang w:eastAsia="zh-CN"/>
        </w:rPr>
        <w:t>能源</w:t>
      </w:r>
      <w:r>
        <w:rPr>
          <w:rFonts w:hint="eastAsia" w:ascii="仿宋_GB2312" w:hAnsi="仿宋_GB2312" w:eastAsia="仿宋_GB2312" w:cs="仿宋_GB2312"/>
          <w:color w:val="000000"/>
          <w:sz w:val="32"/>
          <w:szCs w:val="32"/>
        </w:rPr>
        <w:t>聚合商）初期参照《售电公司管理办法》执行</w:t>
      </w:r>
      <w:r>
        <w:rPr>
          <w:rFonts w:hint="eastAsia" w:ascii="仿宋_GB2312" w:hAnsi="仿宋_GB2312" w:eastAsia="仿宋_GB2312" w:cs="仿宋_GB2312"/>
          <w:color w:val="000000"/>
          <w:sz w:val="32"/>
          <w:szCs w:val="32"/>
          <w:lang w:eastAsia="zh-CN"/>
        </w:rPr>
        <w:t>，具体方式结合市场情况另行明确。</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val="en-US" w:eastAsia="zh-CN"/>
        </w:rPr>
        <w:t>5.</w:t>
      </w:r>
      <w:r>
        <w:rPr>
          <w:rFonts w:hint="eastAsia" w:ascii="仿宋_GB2312" w:hAnsi="仿宋_GB2312" w:eastAsia="仿宋_GB2312" w:cs="仿宋_GB2312"/>
          <w:b/>
          <w:bCs/>
          <w:color w:val="000000"/>
          <w:sz w:val="32"/>
          <w:szCs w:val="32"/>
        </w:rPr>
        <w:t>注册生效</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eastAsia="仿宋_GB2312"/>
          <w:lang w:eastAsia="zh-CN"/>
        </w:rPr>
      </w:pPr>
      <w:r>
        <w:rPr>
          <w:rFonts w:hint="eastAsia" w:eastAsia="仿宋_GB2312"/>
          <w:color w:val="000000"/>
          <w:sz w:val="32"/>
          <w:szCs w:val="32"/>
        </w:rPr>
        <w:t>市场注册审查通过的发电企业、电力用户、新型储能企业、分布式电源、电动汽车充电设施经营主体直接生效</w:t>
      </w:r>
      <w:r>
        <w:rPr>
          <w:rFonts w:hint="eastAsia" w:eastAsia="仿宋_GB2312"/>
          <w:color w:val="000000"/>
          <w:sz w:val="32"/>
          <w:szCs w:val="32"/>
          <w:lang w:eastAsia="zh-CN"/>
        </w:rPr>
        <w:t>；</w:t>
      </w:r>
      <w:r>
        <w:rPr>
          <w:rFonts w:hint="eastAsia" w:eastAsia="仿宋_GB2312"/>
          <w:color w:val="000000"/>
          <w:sz w:val="32"/>
          <w:szCs w:val="32"/>
        </w:rPr>
        <w:t>售电公司、公示期满无异议的，注册自动生效</w:t>
      </w:r>
      <w:r>
        <w:rPr>
          <w:rFonts w:hint="eastAsia" w:eastAsia="仿宋_GB2312"/>
          <w:color w:val="000000"/>
          <w:sz w:val="32"/>
          <w:szCs w:val="32"/>
          <w:lang w:eastAsia="zh-CN"/>
        </w:rPr>
        <w:t>；</w:t>
      </w:r>
      <w:r>
        <w:rPr>
          <w:rFonts w:hint="eastAsia" w:eastAsia="仿宋_GB2312"/>
          <w:color w:val="000000"/>
          <w:sz w:val="32"/>
          <w:szCs w:val="32"/>
        </w:rPr>
        <w:t>虚拟电厂（含</w:t>
      </w:r>
      <w:r>
        <w:rPr>
          <w:rFonts w:hint="eastAsia" w:eastAsia="仿宋_GB2312"/>
          <w:color w:val="000000"/>
          <w:sz w:val="32"/>
          <w:szCs w:val="32"/>
          <w:lang w:eastAsia="zh-CN"/>
        </w:rPr>
        <w:t>能源</w:t>
      </w:r>
      <w:r>
        <w:rPr>
          <w:rFonts w:hint="eastAsia" w:eastAsia="仿宋_GB2312"/>
          <w:color w:val="000000"/>
          <w:sz w:val="32"/>
          <w:szCs w:val="32"/>
        </w:rPr>
        <w:t>聚合商）</w:t>
      </w:r>
      <w:r>
        <w:rPr>
          <w:rFonts w:hint="eastAsia" w:eastAsia="仿宋_GB2312"/>
          <w:color w:val="000000"/>
          <w:sz w:val="32"/>
          <w:szCs w:val="32"/>
          <w:lang w:eastAsia="zh-CN"/>
        </w:rPr>
        <w:t>另行明确。</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方正楷体_GBK" w:hAnsi="方正楷体_GBK" w:eastAsia="方正楷体_GBK" w:cs="方正楷体_GBK"/>
          <w:b/>
          <w:bCs/>
          <w:color w:val="000000"/>
          <w:sz w:val="32"/>
          <w:szCs w:val="32"/>
        </w:rPr>
      </w:pPr>
      <w:r>
        <w:rPr>
          <w:rFonts w:hint="eastAsia" w:ascii="方正楷体_GBK" w:hAnsi="方正楷体_GBK" w:eastAsia="方正楷体_GBK" w:cs="方正楷体_GBK"/>
          <w:b/>
          <w:bCs/>
          <w:color w:val="000000"/>
          <w:sz w:val="32"/>
          <w:szCs w:val="32"/>
        </w:rPr>
        <w:t>（二）注册备案</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eastAsia="仿宋_GB2312"/>
          <w:color w:val="000000"/>
          <w:sz w:val="32"/>
          <w:szCs w:val="32"/>
        </w:rPr>
      </w:pPr>
      <w:r>
        <w:rPr>
          <w:rFonts w:hint="eastAsia" w:eastAsia="仿宋_GB2312"/>
          <w:color w:val="000000"/>
          <w:sz w:val="32"/>
          <w:szCs w:val="32"/>
        </w:rPr>
        <w:t>安徽电力交易中心将市场注册生效的经营主体纳入经营主体目录，实行动态管理，通过电力交易平台向社会公布，报国家能源局派出机构和地方政府主管部门备案。</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rPr>
      </w:pPr>
      <w:r>
        <w:rPr>
          <w:rFonts w:hint="eastAsia" w:eastAsia="仿宋_GB2312"/>
          <w:color w:val="000000"/>
          <w:sz w:val="32"/>
          <w:szCs w:val="32"/>
        </w:rPr>
        <w:t>当国家政策调整或者交易规则变化导致市场注册信息发生变化时，安徽电力交易中心按照全国统一的原则组织经营主体重新注册或补充完善注册信息。</w:t>
      </w:r>
    </w:p>
    <w:p>
      <w:pPr>
        <w:pStyle w:val="12"/>
        <w:keepNext w:val="0"/>
        <w:keepLines w:val="0"/>
        <w:pageBreakBefore w:val="0"/>
        <w:widowControl w:val="0"/>
        <w:kinsoku/>
        <w:wordWrap/>
        <w:overflowPunct/>
        <w:topLinePunct w:val="0"/>
        <w:autoSpaceDE/>
        <w:autoSpaceDN/>
        <w:bidi w:val="0"/>
        <w:spacing w:before="0" w:after="0" w:line="580" w:lineRule="exact"/>
        <w:ind w:firstLine="643" w:firstLineChars="200"/>
        <w:jc w:val="both"/>
        <w:textAlignment w:val="auto"/>
        <w:rPr>
          <w:rFonts w:hint="eastAsia" w:ascii="黑体" w:eastAsia="黑体"/>
          <w:color w:val="000000"/>
          <w:sz w:val="32"/>
          <w:szCs w:val="32"/>
          <w:lang w:eastAsia="zh-CN"/>
        </w:rPr>
      </w:pPr>
      <w:bookmarkStart w:id="3" w:name="_Toc15948"/>
      <w:r>
        <w:rPr>
          <w:rFonts w:hint="eastAsia" w:ascii="黑体" w:eastAsia="黑体"/>
          <w:color w:val="000000"/>
          <w:sz w:val="32"/>
          <w:szCs w:val="32"/>
          <w:lang w:eastAsia="zh-CN"/>
        </w:rPr>
        <w:t>三．信息变更</w:t>
      </w:r>
      <w:bookmarkEnd w:id="3"/>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color w:val="000000"/>
          <w:sz w:val="32"/>
          <w:szCs w:val="32"/>
        </w:rPr>
      </w:pPr>
      <w:r>
        <w:rPr>
          <w:rFonts w:hint="eastAsia" w:eastAsia="仿宋_GB2312"/>
          <w:color w:val="000000"/>
          <w:sz w:val="32"/>
          <w:szCs w:val="32"/>
        </w:rPr>
        <w:t>经营主体市场注册信息发生变化后，应在5个工作日内向安徽电力交易中心提出信息变更申请。</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（一）信息变更主要包含以下内容</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经营主体身份名称变更、法定代表人（或负责人）更换；</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公司股东、股权结构的重大变化，因公司股权转让导致公司控股股东或者实际控制人发生变化等；</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电力业务许可证变更、延续等；</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发电企业机组转让、机组关停退役、机组调度关系调整、机组自备公用性质转换、机组进入及退出商业运营、机组容量调整、其他影响交易组织的关键技术参数变更等；</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新型储能企业主体储能项目（单元）转让、储能单元容量调整、其他影响交易组织的关键技术参数变更等；</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售电公司、虚拟电厂（含</w:t>
      </w:r>
      <w:r>
        <w:rPr>
          <w:rFonts w:hint="eastAsia" w:ascii="仿宋_GB2312" w:hAnsi="仿宋_GB2312" w:eastAsia="仿宋_GB2312" w:cs="仿宋_GB2312"/>
          <w:color w:val="000000"/>
          <w:sz w:val="32"/>
          <w:szCs w:val="32"/>
          <w:lang w:eastAsia="zh-CN"/>
        </w:rPr>
        <w:t>能源</w:t>
      </w:r>
      <w:r>
        <w:rPr>
          <w:rFonts w:hint="eastAsia" w:ascii="仿宋_GB2312" w:hAnsi="仿宋_GB2312" w:eastAsia="仿宋_GB2312" w:cs="仿宋_GB2312"/>
          <w:color w:val="000000"/>
          <w:sz w:val="32"/>
          <w:szCs w:val="32"/>
        </w:rPr>
        <w:t>聚合商）资产总额发生影响年度代理电量规模或调节能力的变化、企业高级或中级职称的专业人员变更、配电网运营资质变化、业务范围变更等。</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（二）信息变更程序</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color w:val="000000"/>
          <w:sz w:val="32"/>
          <w:szCs w:val="32"/>
        </w:rPr>
      </w:pPr>
      <w:r>
        <w:rPr>
          <w:rFonts w:hint="eastAsia" w:eastAsia="仿宋_GB2312"/>
          <w:color w:val="000000"/>
          <w:sz w:val="32"/>
          <w:szCs w:val="32"/>
        </w:rPr>
        <w:t>经营主体市场注册信息变更按照申请、承诺、审查、公示、生效的流程办理。</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rPr>
        <w:t>信息变更申请</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经营主体通过</w:t>
      </w:r>
      <w:r>
        <w:rPr>
          <w:rFonts w:hint="eastAsia" w:ascii="仿宋_GB2312" w:hAnsi="仿宋_GB2312" w:eastAsia="仿宋_GB2312" w:cs="仿宋_GB2312"/>
          <w:sz w:val="32"/>
          <w:szCs w:val="32"/>
        </w:rPr>
        <w:t>电力交易平台</w:t>
      </w:r>
      <w:r>
        <w:rPr>
          <w:rFonts w:hint="eastAsia" w:ascii="仿宋_GB2312" w:hAnsi="仿宋_GB2312" w:eastAsia="仿宋_GB2312" w:cs="仿宋_GB2312"/>
          <w:color w:val="000000"/>
          <w:sz w:val="32"/>
          <w:szCs w:val="32"/>
        </w:rPr>
        <w:t>提交变更信息以及相关支撑性材料，若办理信息变更时其他注册信息或支撑性材料已过有效期，需要同步进行更新。售电公司市场注册信息变更条件和流程按照《售电公司管理办法》规定执行，虚拟电厂（含</w:t>
      </w:r>
      <w:r>
        <w:rPr>
          <w:rFonts w:hint="eastAsia" w:ascii="仿宋_GB2312" w:hAnsi="仿宋_GB2312" w:eastAsia="仿宋_GB2312" w:cs="仿宋_GB2312"/>
          <w:color w:val="000000"/>
          <w:sz w:val="32"/>
          <w:szCs w:val="32"/>
          <w:lang w:eastAsia="zh-CN"/>
        </w:rPr>
        <w:t>能源</w:t>
      </w:r>
      <w:r>
        <w:rPr>
          <w:rFonts w:hint="eastAsia" w:ascii="仿宋_GB2312" w:hAnsi="仿宋_GB2312" w:eastAsia="仿宋_GB2312" w:cs="仿宋_GB2312"/>
          <w:color w:val="000000"/>
          <w:sz w:val="32"/>
          <w:szCs w:val="32"/>
        </w:rPr>
        <w:t>聚合商）初期参照《售电公司管理办法》执行。</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val="en-US" w:eastAsia="zh-CN"/>
        </w:rPr>
        <w:t>2.</w:t>
      </w:r>
      <w:r>
        <w:rPr>
          <w:rFonts w:hint="eastAsia" w:ascii="仿宋_GB2312" w:hAnsi="仿宋_GB2312" w:eastAsia="仿宋_GB2312" w:cs="仿宋_GB2312"/>
          <w:b/>
          <w:bCs/>
          <w:color w:val="000000"/>
          <w:sz w:val="32"/>
          <w:szCs w:val="32"/>
        </w:rPr>
        <w:t>信息变更承诺</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经营主体办理信息变更时，应按照本指南规定再次予以承诺，重新签署的信用承诺书与其他变更材料一并提交。</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val="en-US" w:eastAsia="zh-CN"/>
        </w:rPr>
        <w:t>3.</w:t>
      </w:r>
      <w:r>
        <w:rPr>
          <w:rFonts w:hint="eastAsia" w:ascii="仿宋_GB2312" w:hAnsi="仿宋_GB2312" w:eastAsia="仿宋_GB2312" w:cs="仿宋_GB2312"/>
          <w:b/>
          <w:bCs/>
          <w:color w:val="000000"/>
          <w:sz w:val="32"/>
          <w:szCs w:val="32"/>
        </w:rPr>
        <w:t>信息变更审查</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安徽电力交易中心收到经营主体提交的变更申请和变更材料后，在5个工作日内进行审查。对于变更材料不符合要求的，以短信或电话的方式一次性告知。</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4</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rPr>
        <w:t>信息变更公示</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市场注册信息变更审查通过的发电企业、电力用户、新型储能企业、分布式电源、电动汽车充电设施经营主体无需公示。售电公司按照《售电公司管理办法》规定执行，公示期7天。虚拟电厂（含</w:t>
      </w:r>
      <w:r>
        <w:rPr>
          <w:rFonts w:hint="eastAsia" w:ascii="仿宋_GB2312" w:hAnsi="仿宋_GB2312" w:eastAsia="仿宋_GB2312" w:cs="仿宋_GB2312"/>
          <w:color w:val="000000"/>
          <w:sz w:val="32"/>
          <w:szCs w:val="32"/>
          <w:lang w:eastAsia="zh-CN"/>
        </w:rPr>
        <w:t>能源</w:t>
      </w:r>
      <w:r>
        <w:rPr>
          <w:rFonts w:hint="eastAsia" w:ascii="仿宋_GB2312" w:hAnsi="仿宋_GB2312" w:eastAsia="仿宋_GB2312" w:cs="仿宋_GB2312"/>
          <w:color w:val="000000"/>
          <w:sz w:val="32"/>
          <w:szCs w:val="32"/>
        </w:rPr>
        <w:t>聚合商）初期参照《售电公司管理办法》执行。</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5</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rPr>
        <w:t>信息变更生效</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市场注册信息变更审查通过的发电企业、电力用户、新型储能企业、分布式电源、电动汽车充电设施经营主体直接生效。售电公司、虚拟电厂（含</w:t>
      </w:r>
      <w:r>
        <w:rPr>
          <w:rFonts w:hint="eastAsia" w:ascii="仿宋_GB2312" w:hAnsi="仿宋_GB2312" w:eastAsia="仿宋_GB2312" w:cs="仿宋_GB2312"/>
          <w:color w:val="000000"/>
          <w:sz w:val="32"/>
          <w:szCs w:val="32"/>
          <w:lang w:eastAsia="zh-CN"/>
        </w:rPr>
        <w:t>能源</w:t>
      </w:r>
      <w:r>
        <w:rPr>
          <w:rFonts w:hint="eastAsia" w:ascii="仿宋_GB2312" w:hAnsi="仿宋_GB2312" w:eastAsia="仿宋_GB2312" w:cs="仿宋_GB2312"/>
          <w:color w:val="000000"/>
          <w:sz w:val="32"/>
          <w:szCs w:val="32"/>
        </w:rPr>
        <w:t>聚合商）公示期满无异议的，注册自动生效。</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rPr>
      </w:pPr>
      <w:r>
        <w:rPr>
          <w:rFonts w:hint="eastAsia" w:ascii="仿宋_GB2312" w:hAnsi="仿宋_GB2312" w:eastAsia="仿宋_GB2312" w:cs="仿宋_GB2312"/>
          <w:b/>
          <w:bCs/>
          <w:color w:val="000000"/>
          <w:sz w:val="32"/>
          <w:szCs w:val="32"/>
        </w:rPr>
        <w:t>（三）信息变更提示</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经营主体市场注册信息发生变化未按规定时间进行变更，并造成不良影响或经济损失的，由经营主体承担相应责任。</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经营主体在市场注册信息变更期间可正常参与市场交易。</w:t>
      </w:r>
    </w:p>
    <w:p>
      <w:pPr>
        <w:pStyle w:val="12"/>
        <w:keepNext w:val="0"/>
        <w:keepLines w:val="0"/>
        <w:pageBreakBefore w:val="0"/>
        <w:widowControl w:val="0"/>
        <w:kinsoku/>
        <w:wordWrap/>
        <w:overflowPunct/>
        <w:topLinePunct w:val="0"/>
        <w:autoSpaceDE/>
        <w:autoSpaceDN/>
        <w:bidi w:val="0"/>
        <w:spacing w:before="0" w:after="0" w:line="580" w:lineRule="exact"/>
        <w:ind w:firstLine="643" w:firstLineChars="200"/>
        <w:jc w:val="both"/>
        <w:textAlignment w:val="auto"/>
        <w:rPr>
          <w:rFonts w:hint="eastAsia" w:ascii="黑体" w:eastAsia="黑体"/>
          <w:color w:val="000000"/>
          <w:sz w:val="32"/>
          <w:szCs w:val="32"/>
          <w:lang w:eastAsia="zh-CN"/>
        </w:rPr>
      </w:pPr>
      <w:bookmarkStart w:id="4" w:name="_Toc17842"/>
      <w:r>
        <w:rPr>
          <w:rFonts w:hint="eastAsia" w:ascii="黑体" w:eastAsia="黑体"/>
          <w:color w:val="000000"/>
          <w:sz w:val="32"/>
          <w:szCs w:val="32"/>
          <w:lang w:eastAsia="zh-CN"/>
        </w:rPr>
        <w:t>四．市场注销</w:t>
      </w:r>
      <w:bookmarkEnd w:id="4"/>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rPr>
      </w:pPr>
      <w:r>
        <w:rPr>
          <w:rFonts w:hint="eastAsia" w:eastAsia="仿宋_GB2312"/>
          <w:color w:val="000000"/>
          <w:sz w:val="32"/>
          <w:szCs w:val="32"/>
        </w:rPr>
        <w:t>经营主体退出电力市场交易，分为申请注销和自动注销。售电公司市场注销条件和流程按照《售电公司管理办法》规定执行，虚拟电厂（含</w:t>
      </w:r>
      <w:r>
        <w:rPr>
          <w:rFonts w:hint="eastAsia" w:eastAsia="仿宋_GB2312"/>
          <w:color w:val="000000"/>
          <w:sz w:val="32"/>
          <w:szCs w:val="32"/>
          <w:lang w:eastAsia="zh-CN"/>
        </w:rPr>
        <w:t>能源</w:t>
      </w:r>
      <w:r>
        <w:rPr>
          <w:rFonts w:hint="eastAsia" w:eastAsia="仿宋_GB2312"/>
          <w:color w:val="000000"/>
          <w:sz w:val="32"/>
          <w:szCs w:val="32"/>
        </w:rPr>
        <w:t>聚合商）初期参照《售电公司管理办法》执行。</w:t>
      </w:r>
    </w:p>
    <w:p>
      <w:pPr>
        <w:keepNext w:val="0"/>
        <w:keepLines w:val="0"/>
        <w:pageBreakBefore w:val="0"/>
        <w:widowControl w:val="0"/>
        <w:numPr>
          <w:ilvl w:val="0"/>
          <w:numId w:val="1"/>
        </w:numPr>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申请注销</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eastAsia="仿宋_GB2312"/>
          <w:color w:val="000000"/>
          <w:sz w:val="32"/>
          <w:szCs w:val="32"/>
        </w:rPr>
      </w:pPr>
      <w:r>
        <w:rPr>
          <w:rFonts w:hint="eastAsia" w:ascii="仿宋_GB2312" w:hAnsi="仿宋_GB2312" w:eastAsia="仿宋_GB2312" w:cs="仿宋_GB2312"/>
          <w:b/>
          <w:bCs/>
          <w:color w:val="000000"/>
          <w:sz w:val="32"/>
          <w:szCs w:val="32"/>
        </w:rPr>
        <w:t>1</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rPr>
        <w:t>经营主体有下列正当</w:t>
      </w:r>
      <w:r>
        <w:rPr>
          <w:rFonts w:hint="eastAsia" w:eastAsia="仿宋_GB2312"/>
          <w:b/>
          <w:bCs/>
          <w:color w:val="000000"/>
          <w:sz w:val="32"/>
          <w:szCs w:val="32"/>
        </w:rPr>
        <w:t>理由之一的，可申请注销：</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（1）经营主体宣告破产，或虽未破产但被地方政府主管部门关停或主动拆除，不再发电或者用电；</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（2）因国家政策、电力市场规则发生重大调整，导致原有经营主体非自身原因无法继续参加市场的情况；</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（3）因电网网架调整，导致经营主体的发用电物理属性无法满足所在地区的电力市场进入条件；</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（4）经营主体所有机组关停退役的；</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（5）经营主体全部电量不再属于工商业用电性质的。</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2</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bCs/>
          <w:color w:val="000000"/>
          <w:sz w:val="32"/>
          <w:szCs w:val="32"/>
        </w:rPr>
        <w:t>申请注销程序</w:t>
      </w:r>
    </w:p>
    <w:p>
      <w:pPr>
        <w:pStyle w:val="2"/>
        <w:keepNext w:val="0"/>
        <w:keepLines w:val="0"/>
        <w:pageBreakBefore w:val="0"/>
        <w:widowControl w:val="0"/>
        <w:kinsoku/>
        <w:wordWrap/>
        <w:overflowPunct/>
        <w:topLinePunct w:val="0"/>
        <w:autoSpaceDE/>
        <w:autoSpaceDN/>
        <w:bidi w:val="0"/>
        <w:spacing w:line="580" w:lineRule="exact"/>
        <w:ind w:firstLine="640" w:firstLineChars="200"/>
        <w:textAlignment w:val="auto"/>
        <w:rPr>
          <w:rFonts w:eastAsia="仿宋_GB2312"/>
          <w:color w:val="000000"/>
          <w:sz w:val="32"/>
          <w:szCs w:val="32"/>
        </w:rPr>
      </w:pPr>
      <w:r>
        <w:rPr>
          <w:rFonts w:hint="eastAsia" w:eastAsia="仿宋_GB2312"/>
          <w:color w:val="000000"/>
          <w:sz w:val="32"/>
          <w:szCs w:val="32"/>
        </w:rPr>
        <w:t>经营主体申请注销按照申请、声明、审查、公示、生效的流程办理。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eastAsia="仿宋_GB2312"/>
          <w:b/>
          <w:bCs/>
          <w:color w:val="000000"/>
          <w:sz w:val="32"/>
          <w:szCs w:val="32"/>
        </w:rPr>
      </w:pPr>
      <w:r>
        <w:rPr>
          <w:rFonts w:hint="eastAsia" w:eastAsia="仿宋_GB2312"/>
          <w:b/>
          <w:bCs/>
          <w:color w:val="000000"/>
          <w:sz w:val="32"/>
          <w:szCs w:val="32"/>
          <w:lang w:eastAsia="zh-CN"/>
        </w:rPr>
        <w:t>（</w:t>
      </w:r>
      <w:r>
        <w:rPr>
          <w:rFonts w:hint="eastAsia" w:eastAsia="仿宋_GB2312"/>
          <w:b/>
          <w:bCs/>
          <w:color w:val="000000"/>
          <w:sz w:val="32"/>
          <w:szCs w:val="32"/>
          <w:lang w:val="en-US" w:eastAsia="zh-CN"/>
        </w:rPr>
        <w:t>1</w:t>
      </w:r>
      <w:r>
        <w:rPr>
          <w:rFonts w:hint="eastAsia" w:eastAsia="仿宋_GB2312"/>
          <w:b/>
          <w:bCs/>
          <w:color w:val="000000"/>
          <w:sz w:val="32"/>
          <w:szCs w:val="32"/>
          <w:lang w:eastAsia="zh-CN"/>
        </w:rPr>
        <w:t>）</w:t>
      </w:r>
      <w:r>
        <w:rPr>
          <w:rFonts w:hint="eastAsia" w:eastAsia="仿宋_GB2312"/>
          <w:b/>
          <w:bCs/>
          <w:color w:val="000000"/>
          <w:sz w:val="32"/>
          <w:szCs w:val="32"/>
        </w:rPr>
        <w:t>注销申请、声明</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color w:val="000000"/>
          <w:sz w:val="32"/>
          <w:szCs w:val="32"/>
        </w:rPr>
      </w:pPr>
      <w:r>
        <w:rPr>
          <w:rFonts w:hint="eastAsia" w:eastAsia="仿宋_GB2312"/>
          <w:color w:val="000000"/>
          <w:sz w:val="32"/>
          <w:szCs w:val="32"/>
        </w:rPr>
        <w:t>经营主体申请注销，应当符合正当理由，向安徽电力交易中心提出市场注销申请。经营主体应提交注销申请、合同处理完毕声明以及相关支撑材料。</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eastAsia="仿宋_GB2312"/>
          <w:b/>
          <w:bCs/>
          <w:color w:val="000000"/>
          <w:sz w:val="32"/>
          <w:szCs w:val="32"/>
        </w:rPr>
      </w:pPr>
      <w:r>
        <w:rPr>
          <w:rFonts w:hint="eastAsia" w:eastAsia="仿宋_GB2312"/>
          <w:b/>
          <w:bCs/>
          <w:color w:val="000000"/>
          <w:sz w:val="32"/>
          <w:szCs w:val="32"/>
          <w:lang w:eastAsia="zh-CN"/>
        </w:rPr>
        <w:t>（</w:t>
      </w:r>
      <w:r>
        <w:rPr>
          <w:rFonts w:hint="eastAsia" w:eastAsia="仿宋_GB2312"/>
          <w:b/>
          <w:bCs/>
          <w:color w:val="000000"/>
          <w:sz w:val="32"/>
          <w:szCs w:val="32"/>
          <w:lang w:val="en-US" w:eastAsia="zh-CN"/>
        </w:rPr>
        <w:t>2</w:t>
      </w:r>
      <w:r>
        <w:rPr>
          <w:rFonts w:hint="eastAsia" w:eastAsia="仿宋_GB2312"/>
          <w:b/>
          <w:bCs/>
          <w:color w:val="000000"/>
          <w:sz w:val="32"/>
          <w:szCs w:val="32"/>
          <w:lang w:eastAsia="zh-CN"/>
        </w:rPr>
        <w:t>）</w:t>
      </w:r>
      <w:r>
        <w:rPr>
          <w:rFonts w:hint="eastAsia" w:eastAsia="仿宋_GB2312"/>
          <w:b/>
          <w:bCs/>
          <w:color w:val="000000"/>
          <w:sz w:val="32"/>
          <w:szCs w:val="32"/>
        </w:rPr>
        <w:t>注销审查</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color w:val="000000"/>
          <w:sz w:val="32"/>
          <w:szCs w:val="32"/>
        </w:rPr>
      </w:pPr>
      <w:r>
        <w:rPr>
          <w:rFonts w:hint="eastAsia" w:eastAsia="仿宋_GB2312"/>
          <w:color w:val="000000"/>
          <w:sz w:val="32"/>
          <w:szCs w:val="32"/>
        </w:rPr>
        <w:t>安徽电力交易中心收到经营主体提交的注销申请和注销材料后，在5个工作日内进行审查。对于注销材料不符合要求的，以短信或电话的方式一次性告知。</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eastAsia="仿宋_GB2312"/>
          <w:b/>
          <w:bCs/>
          <w:color w:val="000000"/>
          <w:sz w:val="32"/>
          <w:szCs w:val="32"/>
        </w:rPr>
      </w:pPr>
      <w:r>
        <w:rPr>
          <w:rFonts w:hint="eastAsia" w:eastAsia="仿宋_GB2312"/>
          <w:b/>
          <w:bCs/>
          <w:color w:val="000000"/>
          <w:sz w:val="32"/>
          <w:szCs w:val="32"/>
          <w:lang w:eastAsia="zh-CN"/>
        </w:rPr>
        <w:t>（</w:t>
      </w:r>
      <w:r>
        <w:rPr>
          <w:rFonts w:hint="eastAsia" w:eastAsia="仿宋_GB2312"/>
          <w:b/>
          <w:bCs/>
          <w:color w:val="000000"/>
          <w:sz w:val="32"/>
          <w:szCs w:val="32"/>
          <w:lang w:val="en-US" w:eastAsia="zh-CN"/>
        </w:rPr>
        <w:t>3</w:t>
      </w:r>
      <w:r>
        <w:rPr>
          <w:rFonts w:hint="eastAsia" w:eastAsia="仿宋_GB2312"/>
          <w:b/>
          <w:bCs/>
          <w:color w:val="000000"/>
          <w:sz w:val="32"/>
          <w:szCs w:val="32"/>
          <w:lang w:eastAsia="zh-CN"/>
        </w:rPr>
        <w:t>）</w:t>
      </w:r>
      <w:r>
        <w:rPr>
          <w:rFonts w:hint="eastAsia" w:eastAsia="仿宋_GB2312"/>
          <w:b/>
          <w:bCs/>
          <w:color w:val="000000"/>
          <w:sz w:val="32"/>
          <w:szCs w:val="32"/>
        </w:rPr>
        <w:t>注销公示</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color w:val="000000"/>
          <w:sz w:val="32"/>
          <w:szCs w:val="32"/>
        </w:rPr>
      </w:pPr>
      <w:r>
        <w:rPr>
          <w:rFonts w:hint="eastAsia" w:eastAsia="仿宋_GB2312"/>
          <w:color w:val="000000"/>
          <w:sz w:val="32"/>
          <w:szCs w:val="32"/>
        </w:rPr>
        <w:t>安徽电力交易中心通过电力交易平台，将经营主体市场注销信息向社会公示，公示期为10个工作日。</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eastAsia="仿宋_GB2312"/>
          <w:b/>
          <w:bCs/>
          <w:color w:val="000000"/>
          <w:sz w:val="32"/>
          <w:szCs w:val="32"/>
        </w:rPr>
      </w:pPr>
      <w:r>
        <w:rPr>
          <w:rFonts w:hint="eastAsia" w:eastAsia="仿宋_GB2312"/>
          <w:b/>
          <w:bCs/>
          <w:color w:val="000000"/>
          <w:sz w:val="32"/>
          <w:szCs w:val="32"/>
          <w:lang w:eastAsia="zh-CN"/>
        </w:rPr>
        <w:t>（</w:t>
      </w:r>
      <w:r>
        <w:rPr>
          <w:rFonts w:hint="eastAsia" w:eastAsia="仿宋_GB2312"/>
          <w:b/>
          <w:bCs/>
          <w:color w:val="000000"/>
          <w:sz w:val="32"/>
          <w:szCs w:val="32"/>
          <w:lang w:val="en-US" w:eastAsia="zh-CN"/>
        </w:rPr>
        <w:t>4</w:t>
      </w:r>
      <w:r>
        <w:rPr>
          <w:rFonts w:hint="eastAsia" w:eastAsia="仿宋_GB2312"/>
          <w:b/>
          <w:bCs/>
          <w:color w:val="000000"/>
          <w:sz w:val="32"/>
          <w:szCs w:val="32"/>
          <w:lang w:eastAsia="zh-CN"/>
        </w:rPr>
        <w:t>）</w:t>
      </w:r>
      <w:r>
        <w:rPr>
          <w:rFonts w:hint="eastAsia" w:eastAsia="仿宋_GB2312"/>
          <w:b/>
          <w:bCs/>
          <w:color w:val="000000"/>
          <w:sz w:val="32"/>
          <w:szCs w:val="32"/>
        </w:rPr>
        <w:t>注销生效</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eastAsia="仿宋_GB2312"/>
          <w:color w:val="000000"/>
          <w:sz w:val="32"/>
          <w:szCs w:val="32"/>
        </w:rPr>
      </w:pPr>
      <w:r>
        <w:rPr>
          <w:rFonts w:hint="eastAsia" w:eastAsia="仿宋_GB2312"/>
          <w:color w:val="000000"/>
          <w:sz w:val="32"/>
          <w:szCs w:val="32"/>
        </w:rPr>
        <w:t>公示期满无异议，在电力交易平台中予以注销，保留其历史信息5年。</w:t>
      </w:r>
    </w:p>
    <w:p>
      <w:pPr>
        <w:keepNext w:val="0"/>
        <w:keepLines w:val="0"/>
        <w:pageBreakBefore w:val="0"/>
        <w:widowControl w:val="0"/>
        <w:numPr>
          <w:ilvl w:val="0"/>
          <w:numId w:val="1"/>
        </w:numPr>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自动注销</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val="en-US" w:eastAsia="zh-CN"/>
        </w:rPr>
        <w:t>1.</w:t>
      </w:r>
      <w:r>
        <w:rPr>
          <w:rFonts w:hint="eastAsia" w:ascii="仿宋_GB2312" w:hAnsi="仿宋_GB2312" w:eastAsia="仿宋_GB2312" w:cs="仿宋_GB2312"/>
          <w:b/>
          <w:bCs/>
          <w:color w:val="000000"/>
          <w:sz w:val="32"/>
          <w:szCs w:val="32"/>
        </w:rPr>
        <w:t>自动注销条件</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安徽电力交易中心每年开展经营主体持续满足注册条件核验，必要时组织对经营主体进行现场核验，发现符合正当理由退出电力市场交易或工商营业执照注销、吊销且未申请市场注销的，予以自动注销处理，并报国家能源局派出机构和地方政府主管部门备案。售电公司持续满足注册条件核验按照《售电公司管理办法》规定执行，虚拟电厂（含</w:t>
      </w:r>
      <w:r>
        <w:rPr>
          <w:rFonts w:hint="eastAsia" w:ascii="仿宋_GB2312" w:hAnsi="仿宋_GB2312" w:eastAsia="仿宋_GB2312" w:cs="仿宋_GB2312"/>
          <w:color w:val="000000"/>
          <w:sz w:val="32"/>
          <w:szCs w:val="32"/>
          <w:lang w:eastAsia="zh-CN"/>
        </w:rPr>
        <w:t>能源</w:t>
      </w:r>
      <w:r>
        <w:rPr>
          <w:rFonts w:hint="eastAsia" w:ascii="仿宋_GB2312" w:hAnsi="仿宋_GB2312" w:eastAsia="仿宋_GB2312" w:cs="仿宋_GB2312"/>
          <w:color w:val="000000"/>
          <w:sz w:val="32"/>
          <w:szCs w:val="32"/>
        </w:rPr>
        <w:t>聚合商）初期参照《售电公司管理办法》执行。</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val="en-US" w:eastAsia="zh-CN"/>
        </w:rPr>
        <w:t>2.</w:t>
      </w:r>
      <w:r>
        <w:rPr>
          <w:rFonts w:hint="eastAsia" w:ascii="仿宋_GB2312" w:hAnsi="仿宋_GB2312" w:eastAsia="仿宋_GB2312" w:cs="仿宋_GB2312"/>
          <w:b/>
          <w:bCs/>
          <w:color w:val="000000"/>
          <w:sz w:val="32"/>
          <w:szCs w:val="32"/>
        </w:rPr>
        <w:t>自动注销程序</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经营主体自动注销由安徽电力交易中心发起，按照公示、生效的流程办理。售电公司退出电力市场交易条件和流程按照《售电公司管理办法》规定执行，虚拟电厂（含</w:t>
      </w:r>
      <w:r>
        <w:rPr>
          <w:rFonts w:hint="eastAsia" w:ascii="仿宋_GB2312" w:hAnsi="仿宋_GB2312" w:eastAsia="仿宋_GB2312" w:cs="仿宋_GB2312"/>
          <w:color w:val="000000"/>
          <w:sz w:val="32"/>
          <w:szCs w:val="32"/>
          <w:lang w:eastAsia="zh-CN"/>
        </w:rPr>
        <w:t>能源</w:t>
      </w:r>
      <w:r>
        <w:rPr>
          <w:rFonts w:hint="eastAsia" w:ascii="仿宋_GB2312" w:hAnsi="仿宋_GB2312" w:eastAsia="仿宋_GB2312" w:cs="仿宋_GB2312"/>
          <w:color w:val="000000"/>
          <w:sz w:val="32"/>
          <w:szCs w:val="32"/>
        </w:rPr>
        <w:t>聚合商）初期参照《售电公司管理办法》执行。</w:t>
      </w:r>
    </w:p>
    <w:p>
      <w:pPr>
        <w:keepNext w:val="0"/>
        <w:keepLines w:val="0"/>
        <w:pageBreakBefore w:val="0"/>
        <w:widowControl w:val="0"/>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val="en-US" w:eastAsia="zh-CN"/>
        </w:rPr>
        <w:t>3.</w:t>
      </w:r>
      <w:r>
        <w:rPr>
          <w:rFonts w:hint="eastAsia" w:ascii="仿宋_GB2312" w:hAnsi="仿宋_GB2312" w:eastAsia="仿宋_GB2312" w:cs="仿宋_GB2312"/>
          <w:b/>
          <w:bCs/>
          <w:color w:val="000000"/>
          <w:sz w:val="32"/>
          <w:szCs w:val="32"/>
        </w:rPr>
        <w:t>自动注销公示及生效</w:t>
      </w:r>
    </w:p>
    <w:p>
      <w:pPr>
        <w:pStyle w:val="2"/>
        <w:keepNext w:val="0"/>
        <w:keepLines w:val="0"/>
        <w:pageBreakBefore w:val="0"/>
        <w:widowControl w:val="0"/>
        <w:kinsoku/>
        <w:wordWrap/>
        <w:overflowPunct/>
        <w:topLinePunct w:val="0"/>
        <w:autoSpaceDE/>
        <w:autoSpaceDN/>
        <w:bidi w:val="0"/>
        <w:adjustRightInd/>
        <w:snapToGrid/>
        <w:spacing w:after="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安徽电力交易中心通过电力交易平台，将经营主体市场注销信息向社会公示，公示期为10个工作日，公示期满无异议，在电力交易平台中予以注销，保留其历史信息5年。</w:t>
      </w:r>
    </w:p>
    <w:p>
      <w:pPr>
        <w:keepNext w:val="0"/>
        <w:keepLines w:val="0"/>
        <w:pageBreakBefore w:val="0"/>
        <w:widowControl w:val="0"/>
        <w:numPr>
          <w:ilvl w:val="0"/>
          <w:numId w:val="1"/>
        </w:numPr>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市场注销提示</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对于即将市场注销的经营主体，其所有已签订但未履行的市场交易合同，原则上通过自主协商等方式在下一个合同履行月之前的10个工作日内完成处理。因市场交易合同各方造成的损失由退市的经营主体承担，或自行通过司法程序解决。</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rPr>
      </w:pPr>
      <w:r>
        <w:rPr>
          <w:rFonts w:hint="eastAsia"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rPr>
        <w:t>已市场注销的经营主体再次参与电力市场交易，应在安徽电力交易中心重新办理市场注册。</w:t>
      </w:r>
    </w:p>
    <w:p>
      <w:pPr>
        <w:pStyle w:val="12"/>
        <w:keepNext w:val="0"/>
        <w:keepLines w:val="0"/>
        <w:pageBreakBefore w:val="0"/>
        <w:widowControl w:val="0"/>
        <w:kinsoku/>
        <w:wordWrap/>
        <w:overflowPunct/>
        <w:topLinePunct w:val="0"/>
        <w:autoSpaceDE/>
        <w:autoSpaceDN/>
        <w:bidi w:val="0"/>
        <w:spacing w:before="0" w:after="0" w:line="580" w:lineRule="exact"/>
        <w:ind w:firstLine="643" w:firstLineChars="200"/>
        <w:jc w:val="both"/>
        <w:textAlignment w:val="auto"/>
        <w:rPr>
          <w:rFonts w:hint="eastAsia" w:ascii="黑体" w:eastAsia="黑体"/>
          <w:color w:val="000000"/>
          <w:sz w:val="32"/>
          <w:szCs w:val="32"/>
          <w:lang w:eastAsia="zh-CN"/>
        </w:rPr>
      </w:pPr>
      <w:bookmarkStart w:id="5" w:name="_Toc4467"/>
      <w:r>
        <w:rPr>
          <w:rFonts w:hint="eastAsia" w:ascii="黑体" w:eastAsia="黑体"/>
          <w:color w:val="000000"/>
          <w:sz w:val="32"/>
          <w:szCs w:val="32"/>
          <w:lang w:eastAsia="zh-CN"/>
        </w:rPr>
        <w:t>五．异议处理</w:t>
      </w:r>
      <w:bookmarkEnd w:id="5"/>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（一）异议反馈</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eastAsia="仿宋_GB2312"/>
          <w:color w:val="000000"/>
          <w:sz w:val="32"/>
          <w:szCs w:val="32"/>
          <w:lang w:val="en-US" w:eastAsia="zh-CN"/>
        </w:rPr>
      </w:pPr>
      <w:r>
        <w:rPr>
          <w:rFonts w:hint="eastAsia" w:eastAsia="仿宋_GB2312"/>
          <w:color w:val="000000"/>
          <w:sz w:val="32"/>
          <w:szCs w:val="32"/>
          <w:lang w:val="en-US" w:eastAsia="zh-CN"/>
        </w:rPr>
        <w:t>任何单位或个人对于经营主体电力市场注册存在异议，可通过异议反馈渠道向</w:t>
      </w:r>
      <w:r>
        <w:rPr>
          <w:rFonts w:hint="eastAsia" w:ascii="仿宋_GB2312" w:hAnsi="仿宋_GB2312" w:eastAsia="仿宋_GB2312" w:cs="仿宋_GB2312"/>
          <w:color w:val="000000"/>
          <w:sz w:val="32"/>
          <w:szCs w:val="32"/>
        </w:rPr>
        <w:t>安徽电力交易中心</w:t>
      </w:r>
      <w:r>
        <w:rPr>
          <w:rFonts w:hint="eastAsia" w:eastAsia="仿宋_GB2312"/>
          <w:color w:val="000000"/>
          <w:sz w:val="32"/>
          <w:szCs w:val="32"/>
          <w:lang w:val="en-US" w:eastAsia="zh-CN"/>
        </w:rPr>
        <w:t>实名反映，需提供包括但不限于异议内容、有效联系方式等信息。异议反馈应提供相关证明材料，不得捏造事实、虚假举证。</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3" w:firstLineChars="200"/>
        <w:textAlignment w:val="auto"/>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（二）异议处理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对于公示期间存在异议的经营主体，安徽电力交易中心应根据调查情况分类处理。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1.如因公示材料疏漏缺失、人员等变更而产生异议，经营主体可以补充材料申请再公示；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2.如因材料造假发生异议，经营主体自接到</w:t>
      </w:r>
      <w:r>
        <w:rPr>
          <w:rFonts w:hint="eastAsia" w:ascii="仿宋_GB2312" w:hAnsi="仿宋_GB2312" w:eastAsia="仿宋_GB2312" w:cs="仿宋_GB2312"/>
          <w:color w:val="000000"/>
          <w:sz w:val="32"/>
          <w:szCs w:val="32"/>
        </w:rPr>
        <w:t>安徽电力交易中心</w:t>
      </w:r>
      <w:r>
        <w:rPr>
          <w:rFonts w:hint="eastAsia" w:ascii="仿宋_GB2312" w:hAnsi="仿宋_GB2312" w:eastAsia="仿宋_GB2312" w:cs="仿宋_GB2312"/>
          <w:color w:val="000000"/>
          <w:sz w:val="32"/>
          <w:szCs w:val="32"/>
          <w:lang w:val="en-US" w:eastAsia="zh-CN"/>
        </w:rPr>
        <w:t>关于异议的告知之日起，5个工作日内无法做出合理解释，</w:t>
      </w:r>
      <w:r>
        <w:rPr>
          <w:rFonts w:hint="eastAsia" w:ascii="仿宋_GB2312" w:hAnsi="仿宋_GB2312" w:eastAsia="仿宋_GB2312" w:cs="仿宋_GB2312"/>
          <w:color w:val="000000"/>
          <w:sz w:val="32"/>
          <w:szCs w:val="32"/>
        </w:rPr>
        <w:t>安徽电力交易中心</w:t>
      </w:r>
      <w:r>
        <w:rPr>
          <w:rFonts w:hint="eastAsia" w:ascii="仿宋_GB2312" w:hAnsi="仿宋_GB2312" w:eastAsia="仿宋_GB2312" w:cs="仿宋_GB2312"/>
          <w:color w:val="000000"/>
          <w:sz w:val="32"/>
          <w:szCs w:val="32"/>
          <w:lang w:val="en-US" w:eastAsia="zh-CN"/>
        </w:rPr>
        <w:t>终止其市场注册业务公示，将情况报送</w:t>
      </w:r>
      <w:r>
        <w:rPr>
          <w:rFonts w:hint="eastAsia" w:ascii="仿宋_GB2312" w:hAnsi="仿宋_GB2312" w:eastAsia="仿宋_GB2312" w:cs="仿宋_GB2312"/>
          <w:color w:val="000000"/>
          <w:sz w:val="32"/>
          <w:szCs w:val="32"/>
        </w:rPr>
        <w:t>能源监管机构和政府主管部门</w:t>
      </w:r>
      <w:r>
        <w:rPr>
          <w:rFonts w:hint="eastAsia" w:ascii="仿宋_GB2312" w:hAnsi="仿宋_GB2312" w:eastAsia="仿宋_GB2312" w:cs="仿宋_GB2312"/>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3.如对市场注销存在异议，经营主体可向</w:t>
      </w:r>
      <w:r>
        <w:rPr>
          <w:rFonts w:hint="eastAsia" w:ascii="仿宋_GB2312" w:hAnsi="仿宋_GB2312" w:eastAsia="仿宋_GB2312" w:cs="仿宋_GB2312"/>
          <w:color w:val="000000"/>
          <w:sz w:val="32"/>
          <w:szCs w:val="32"/>
        </w:rPr>
        <w:t>安徽电力交易中心</w:t>
      </w:r>
      <w:r>
        <w:rPr>
          <w:rFonts w:hint="eastAsia" w:ascii="仿宋_GB2312" w:hAnsi="仿宋_GB2312" w:eastAsia="仿宋_GB2312" w:cs="仿宋_GB2312"/>
          <w:color w:val="000000"/>
          <w:sz w:val="32"/>
          <w:szCs w:val="32"/>
          <w:lang w:val="en-US" w:eastAsia="zh-CN"/>
        </w:rPr>
        <w:t>说明情况，</w:t>
      </w:r>
      <w:r>
        <w:rPr>
          <w:rFonts w:hint="eastAsia" w:ascii="仿宋_GB2312" w:hAnsi="仿宋_GB2312" w:eastAsia="仿宋_GB2312" w:cs="仿宋_GB2312"/>
          <w:color w:val="000000"/>
          <w:sz w:val="32"/>
          <w:szCs w:val="32"/>
        </w:rPr>
        <w:t>安徽电力交易中心</w:t>
      </w:r>
      <w:r>
        <w:rPr>
          <w:rFonts w:hint="eastAsia" w:ascii="仿宋_GB2312" w:hAnsi="仿宋_GB2312" w:eastAsia="仿宋_GB2312" w:cs="仿宋_GB2312"/>
          <w:color w:val="000000"/>
          <w:sz w:val="32"/>
          <w:szCs w:val="32"/>
          <w:lang w:val="en-US" w:eastAsia="zh-CN"/>
        </w:rPr>
        <w:t>根据调查结果予以驳回或撤销公示。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4.对于公示生效后仍存在异议的经营主体，</w:t>
      </w:r>
      <w:r>
        <w:rPr>
          <w:rFonts w:hint="eastAsia" w:ascii="仿宋_GB2312" w:hAnsi="仿宋_GB2312" w:eastAsia="仿宋_GB2312" w:cs="仿宋_GB2312"/>
          <w:color w:val="000000"/>
          <w:sz w:val="32"/>
          <w:szCs w:val="32"/>
        </w:rPr>
        <w:t>安徽电力交易中心</w:t>
      </w:r>
      <w:r>
        <w:rPr>
          <w:rFonts w:hint="eastAsia" w:ascii="仿宋_GB2312" w:hAnsi="仿宋_GB2312" w:eastAsia="仿宋_GB2312" w:cs="仿宋_GB2312"/>
          <w:color w:val="000000"/>
          <w:sz w:val="32"/>
          <w:szCs w:val="32"/>
          <w:lang w:val="en-US" w:eastAsia="zh-CN"/>
        </w:rPr>
        <w:t>应继续开展调查，对于调查后不满足电力市场注册条件的经营主体，按照前款要求处理。</w:t>
      </w:r>
    </w:p>
    <w:p>
      <w:pPr>
        <w:adjustRightInd w:val="0"/>
        <w:snapToGrid w:val="0"/>
        <w:spacing w:line="58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安徽电力交易中心对实名反映人相关身份信息进行保密，不得对外泄露，并及时回复调查处理情况。</w:t>
      </w:r>
    </w:p>
    <w:p>
      <w:pPr>
        <w:pStyle w:val="2"/>
        <w:keepNext w:val="0"/>
        <w:keepLines w:val="0"/>
        <w:pageBreakBefore w:val="0"/>
        <w:kinsoku/>
        <w:wordWrap/>
        <w:overflowPunct/>
        <w:topLinePunct w:val="0"/>
        <w:autoSpaceDE/>
        <w:autoSpaceDN/>
        <w:bidi w:val="0"/>
        <w:spacing w:line="580" w:lineRule="exact"/>
        <w:textAlignment w:val="auto"/>
      </w:pPr>
      <w:r>
        <w:rPr>
          <w:rFonts w:hint="eastAsia" w:ascii="仿宋_GB2312" w:hAnsi="仿宋_GB2312" w:eastAsia="仿宋_GB2312" w:cs="仿宋_GB2312"/>
          <w:color w:val="000000"/>
          <w:sz w:val="32"/>
          <w:szCs w:val="32"/>
          <w:lang w:eastAsia="zh-CN"/>
        </w:rPr>
        <w:pict>
          <v:shape id="_x0000_s1027" o:spid="_x0000_s1027" o:spt="75" type="#_x0000_t75" style="position:absolute;left:0pt;margin-left:343.35pt;margin-top:21.55pt;height:66pt;width:72.75pt;mso-wrap-distance-bottom:0pt;mso-wrap-distance-left:9pt;mso-wrap-distance-right:9pt;mso-wrap-distance-top:0pt;z-index:251659264;mso-width-relative:page;mso-height-relative:page;" o:ole="t" filled="f" o:preferrelative="t" stroked="f" coordsize="21600,21600">
            <v:path/>
            <v:fill on="f" focussize="0,0"/>
            <v:stroke on="f"/>
            <v:imagedata r:id="rId7" o:title=""/>
            <o:lock v:ext="edit" aspectratio="t"/>
            <w10:wrap type="square"/>
          </v:shape>
          <o:OLEObject Type="Embed" ProgID="Word.Document.12" ShapeID="_x0000_s1027" DrawAspect="Icon" ObjectID="_1468075725" r:id="rId6">
            <o:LockedField>false</o:LockedField>
          </o:OLEObject>
        </w:pict>
      </w:r>
    </w:p>
    <w:p>
      <w:pPr>
        <w:pStyle w:val="2"/>
        <w:keepNext w:val="0"/>
        <w:keepLines w:val="0"/>
        <w:pageBreakBefore w:val="0"/>
        <w:widowControl w:val="0"/>
        <w:kinsoku/>
        <w:wordWrap/>
        <w:overflowPunct/>
        <w:topLinePunct w:val="0"/>
        <w:autoSpaceDE/>
        <w:autoSpaceDN/>
        <w:bidi w:val="0"/>
        <w:spacing w:line="580" w:lineRule="exact"/>
        <w:ind w:firstLine="643" w:firstLineChars="200"/>
        <w:textAlignment w:val="auto"/>
        <w:rPr>
          <w:rFonts w:hint="eastAsia" w:ascii="仿宋_GB2312" w:hAnsi="仿宋_GB2312" w:eastAsia="仿宋_GB2312" w:cs="仿宋_GB2312"/>
          <w:color w:val="000000"/>
          <w:sz w:val="32"/>
          <w:szCs w:val="32"/>
        </w:rPr>
      </w:pPr>
      <w:r>
        <w:rPr>
          <w:rFonts w:hint="eastAsia" w:eastAsia="仿宋_GB2312"/>
          <w:b/>
          <w:color w:val="000000"/>
          <w:sz w:val="32"/>
          <w:szCs w:val="32"/>
        </w:rPr>
        <w:t>附件：</w:t>
      </w:r>
      <w:r>
        <w:rPr>
          <w:rFonts w:hint="eastAsia" w:ascii="仿宋_GB2312" w:hAnsi="仿宋_GB2312" w:eastAsia="仿宋_GB2312" w:cs="仿宋_GB2312"/>
          <w:color w:val="000000"/>
          <w:sz w:val="32"/>
          <w:szCs w:val="32"/>
        </w:rPr>
        <w:t>1.发电企业市场注册业务</w:t>
      </w:r>
      <w:r>
        <w:rPr>
          <w:rFonts w:hint="eastAsia" w:ascii="仿宋_GB2312" w:hAnsi="仿宋_GB2312" w:eastAsia="仿宋_GB2312" w:cs="仿宋_GB2312"/>
          <w:color w:val="000000"/>
          <w:sz w:val="32"/>
          <w:szCs w:val="32"/>
          <w:lang w:eastAsia="zh-CN"/>
        </w:rPr>
        <w:t>流程指南</w:t>
      </w:r>
    </w:p>
    <w:p>
      <w:pPr>
        <w:pStyle w:val="2"/>
        <w:keepNext w:val="0"/>
        <w:keepLines w:val="0"/>
        <w:pageBreakBefore w:val="0"/>
        <w:widowControl w:val="0"/>
        <w:kinsoku/>
        <w:wordWrap/>
        <w:overflowPunct/>
        <w:topLinePunct w:val="0"/>
        <w:autoSpaceDE/>
        <w:autoSpaceDN/>
        <w:bidi w:val="0"/>
        <w:spacing w:line="580" w:lineRule="exact"/>
        <w:ind w:firstLine="1600" w:firstLineChars="5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pict>
          <v:shape id="_x0000_s1028" o:spid="_x0000_s1028" o:spt="75" type="#_x0000_t75" style="position:absolute;left:0pt;margin-left:343.35pt;margin-top:18.7pt;height:66pt;width:72.75pt;mso-wrap-distance-bottom:0pt;mso-wrap-distance-left:9pt;mso-wrap-distance-right:9pt;mso-wrap-distance-top:0pt;z-index:251660288;mso-width-relative:page;mso-height-relative:page;" o:ole="t" filled="f" o:preferrelative="t" stroked="f" coordsize="21600,21600">
            <v:path/>
            <v:fill on="f" focussize="0,0"/>
            <v:stroke on="f"/>
            <v:imagedata r:id="rId9" o:title=""/>
            <o:lock v:ext="edit" aspectratio="t"/>
            <w10:wrap type="square"/>
          </v:shape>
          <o:OLEObject Type="Embed" ProgID="Word.Document.12" ShapeID="_x0000_s1028" DrawAspect="Icon" ObjectID="_1468075726" r:id="rId8">
            <o:LockedField>false</o:LockedField>
          </o:OLEObject>
        </w:pict>
      </w:r>
    </w:p>
    <w:p>
      <w:pPr>
        <w:pStyle w:val="2"/>
        <w:keepNext w:val="0"/>
        <w:keepLines w:val="0"/>
        <w:pageBreakBefore w:val="0"/>
        <w:widowControl w:val="0"/>
        <w:kinsoku/>
        <w:wordWrap/>
        <w:overflowPunct/>
        <w:topLinePunct w:val="0"/>
        <w:autoSpaceDE/>
        <w:autoSpaceDN/>
        <w:bidi w:val="0"/>
        <w:spacing w:line="580" w:lineRule="exact"/>
        <w:ind w:firstLine="1600" w:firstLineChars="5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2.售电公司市场注册业务</w:t>
      </w:r>
      <w:r>
        <w:rPr>
          <w:rFonts w:hint="eastAsia" w:ascii="仿宋_GB2312" w:hAnsi="仿宋_GB2312" w:eastAsia="仿宋_GB2312" w:cs="仿宋_GB2312"/>
          <w:color w:val="000000"/>
          <w:sz w:val="32"/>
          <w:szCs w:val="32"/>
          <w:lang w:eastAsia="zh-CN"/>
        </w:rPr>
        <w:t>流程指南</w:t>
      </w:r>
    </w:p>
    <w:p>
      <w:pPr>
        <w:pStyle w:val="2"/>
        <w:keepNext w:val="0"/>
        <w:keepLines w:val="0"/>
        <w:pageBreakBefore w:val="0"/>
        <w:widowControl w:val="0"/>
        <w:kinsoku/>
        <w:wordWrap/>
        <w:overflowPunct/>
        <w:topLinePunct w:val="0"/>
        <w:autoSpaceDE/>
        <w:autoSpaceDN/>
        <w:bidi w:val="0"/>
        <w:spacing w:line="580" w:lineRule="exact"/>
        <w:ind w:firstLine="1600" w:firstLineChars="5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pict>
          <v:shape id="_x0000_s1029" o:spid="_x0000_s1029" o:spt="75" type="#_x0000_t75" style="position:absolute;left:0pt;margin-left:343.35pt;margin-top:19.65pt;height:66pt;width:72.75pt;mso-wrap-distance-bottom:0pt;mso-wrap-distance-left:9pt;mso-wrap-distance-right:9pt;mso-wrap-distance-top:0pt;z-index:251661312;mso-width-relative:page;mso-height-relative:page;" o:ole="t" filled="f" o:preferrelative="t" stroked="f" coordsize="21600,21600">
            <v:path/>
            <v:fill on="f" focussize="0,0"/>
            <v:stroke on="f"/>
            <v:imagedata r:id="rId11" o:title=""/>
            <o:lock v:ext="edit" aspectratio="t"/>
            <w10:wrap type="square"/>
          </v:shape>
          <o:OLEObject Type="Embed" ProgID="Word.Document.12" ShapeID="_x0000_s1029" DrawAspect="Icon" ObjectID="_1468075727" r:id="rId10">
            <o:LockedField>false</o:LockedField>
          </o:OLEObject>
        </w:pict>
      </w:r>
    </w:p>
    <w:p>
      <w:pPr>
        <w:pStyle w:val="2"/>
        <w:keepNext w:val="0"/>
        <w:keepLines w:val="0"/>
        <w:pageBreakBefore w:val="0"/>
        <w:widowControl w:val="0"/>
        <w:kinsoku/>
        <w:wordWrap/>
        <w:overflowPunct/>
        <w:topLinePunct w:val="0"/>
        <w:autoSpaceDE/>
        <w:autoSpaceDN/>
        <w:bidi w:val="0"/>
        <w:spacing w:line="580" w:lineRule="exact"/>
        <w:ind w:firstLine="1600" w:firstLineChars="5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3.电力用户市场注册业务</w:t>
      </w:r>
      <w:r>
        <w:rPr>
          <w:rFonts w:hint="eastAsia" w:ascii="仿宋_GB2312" w:hAnsi="仿宋_GB2312" w:eastAsia="仿宋_GB2312" w:cs="仿宋_GB2312"/>
          <w:color w:val="000000"/>
          <w:sz w:val="32"/>
          <w:szCs w:val="32"/>
          <w:lang w:eastAsia="zh-CN"/>
        </w:rPr>
        <w:t>流程</w:t>
      </w:r>
      <w:r>
        <w:rPr>
          <w:rFonts w:hint="eastAsia" w:ascii="仿宋_GB2312" w:hAnsi="仿宋_GB2312" w:eastAsia="仿宋_GB2312" w:cs="仿宋_GB2312"/>
          <w:color w:val="000000"/>
          <w:sz w:val="32"/>
          <w:szCs w:val="32"/>
        </w:rPr>
        <w:t>指南</w:t>
      </w:r>
    </w:p>
    <w:p>
      <w:pPr>
        <w:pStyle w:val="2"/>
        <w:keepNext w:val="0"/>
        <w:keepLines w:val="0"/>
        <w:pageBreakBefore w:val="0"/>
        <w:widowControl w:val="0"/>
        <w:kinsoku/>
        <w:wordWrap/>
        <w:overflowPunct/>
        <w:topLinePunct w:val="0"/>
        <w:autoSpaceDE/>
        <w:autoSpaceDN/>
        <w:bidi w:val="0"/>
        <w:spacing w:line="580" w:lineRule="exact"/>
        <w:ind w:firstLine="1600" w:firstLineChars="5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pict>
          <v:shape id="_x0000_s1030" o:spid="_x0000_s1030" o:spt="75" type="#_x0000_t75" style="position:absolute;left:0pt;margin-left:343.35pt;margin-top:19.7pt;height:66pt;width:72.75pt;mso-wrap-distance-bottom:0pt;mso-wrap-distance-left:9pt;mso-wrap-distance-right:9pt;mso-wrap-distance-top:0pt;z-index:251662336;mso-width-relative:page;mso-height-relative:page;" o:ole="t" filled="f" o:preferrelative="t" stroked="f" coordsize="21600,21600">
            <v:path/>
            <v:fill on="f" focussize="0,0"/>
            <v:stroke on="f"/>
            <v:imagedata r:id="rId13" o:title=""/>
            <o:lock v:ext="edit" aspectratio="t"/>
            <w10:wrap type="square"/>
          </v:shape>
          <o:OLEObject Type="Embed" ProgID="Word.Document.12" ShapeID="_x0000_s1030" DrawAspect="Icon" ObjectID="_1468075728" r:id="rId12">
            <o:LockedField>false</o:LockedField>
          </o:OLEObject>
        </w:pict>
      </w:r>
    </w:p>
    <w:p>
      <w:pPr>
        <w:pStyle w:val="2"/>
        <w:keepNext w:val="0"/>
        <w:keepLines w:val="0"/>
        <w:pageBreakBefore w:val="0"/>
        <w:widowControl w:val="0"/>
        <w:kinsoku/>
        <w:wordWrap/>
        <w:overflowPunct/>
        <w:topLinePunct w:val="0"/>
        <w:autoSpaceDE/>
        <w:autoSpaceDN/>
        <w:bidi w:val="0"/>
        <w:spacing w:line="580" w:lineRule="exact"/>
        <w:ind w:firstLine="1600" w:firstLineChars="5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lang w:val="en-US" w:eastAsia="zh-CN"/>
        </w:rPr>
        <w:t>新型储能企业</w:t>
      </w:r>
      <w:r>
        <w:rPr>
          <w:rFonts w:hint="eastAsia" w:ascii="仿宋_GB2312" w:hAnsi="仿宋_GB2312" w:eastAsia="仿宋_GB2312" w:cs="仿宋_GB2312"/>
          <w:color w:val="000000"/>
          <w:sz w:val="32"/>
          <w:szCs w:val="32"/>
        </w:rPr>
        <w:t>注册业务</w:t>
      </w:r>
      <w:r>
        <w:rPr>
          <w:rFonts w:hint="eastAsia" w:ascii="仿宋_GB2312" w:hAnsi="仿宋_GB2312" w:eastAsia="仿宋_GB2312" w:cs="仿宋_GB2312"/>
          <w:color w:val="000000"/>
          <w:sz w:val="32"/>
          <w:szCs w:val="32"/>
          <w:lang w:eastAsia="zh-CN"/>
        </w:rPr>
        <w:t>流程</w:t>
      </w:r>
      <w:r>
        <w:rPr>
          <w:rFonts w:hint="eastAsia" w:ascii="仿宋_GB2312" w:hAnsi="仿宋_GB2312" w:eastAsia="仿宋_GB2312" w:cs="仿宋_GB2312"/>
          <w:color w:val="000000"/>
          <w:sz w:val="32"/>
          <w:szCs w:val="32"/>
        </w:rPr>
        <w:t>指南</w:t>
      </w:r>
    </w:p>
    <w:p>
      <w:pPr>
        <w:pStyle w:val="2"/>
        <w:keepNext w:val="0"/>
        <w:keepLines w:val="0"/>
        <w:pageBreakBefore w:val="0"/>
        <w:widowControl w:val="0"/>
        <w:kinsoku/>
        <w:wordWrap/>
        <w:overflowPunct/>
        <w:topLinePunct w:val="0"/>
        <w:autoSpaceDE/>
        <w:autoSpaceDN/>
        <w:bidi w:val="0"/>
        <w:spacing w:line="580" w:lineRule="exact"/>
        <w:ind w:firstLine="1600" w:firstLineChars="500"/>
        <w:textAlignment w:val="auto"/>
        <w:rPr>
          <w:rFonts w:hint="eastAsia" w:ascii="仿宋_GB2312" w:hAnsi="仿宋_GB2312" w:eastAsia="仿宋_GB2312" w:cs="仿宋_GB2312"/>
          <w:color w:val="000000"/>
          <w:sz w:val="32"/>
          <w:szCs w:val="32"/>
          <w:lang w:val="en-US" w:eastAsia="zh-CN"/>
        </w:rPr>
      </w:pPr>
    </w:p>
    <w:p>
      <w:pPr>
        <w:pStyle w:val="2"/>
        <w:keepNext w:val="0"/>
        <w:keepLines w:val="0"/>
        <w:pageBreakBefore w:val="0"/>
        <w:widowControl w:val="0"/>
        <w:kinsoku/>
        <w:wordWrap/>
        <w:overflowPunct/>
        <w:topLinePunct w:val="0"/>
        <w:autoSpaceDE/>
        <w:autoSpaceDN/>
        <w:bidi w:val="0"/>
        <w:spacing w:line="580" w:lineRule="exact"/>
        <w:ind w:firstLine="1600" w:firstLineChars="5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pict>
          <v:shape id="_x0000_s1031" o:spid="_x0000_s1031" o:spt="75" type="#_x0000_t75" style="position:absolute;left:0pt;margin-left:343.35pt;margin-top:-14.6pt;height:66pt;width:72.75pt;mso-wrap-distance-bottom:0pt;mso-wrap-distance-left:9pt;mso-wrap-distance-right:9pt;mso-wrap-distance-top:0pt;z-index:251663360;mso-width-relative:page;mso-height-relative:page;" o:ole="t" filled="f" o:preferrelative="t" stroked="f" coordsize="21600,21600">
            <v:path/>
            <v:fill on="f" focussize="0,0"/>
            <v:stroke on="f"/>
            <v:imagedata r:id="rId15" o:title=""/>
            <o:lock v:ext="edit" aspectratio="t"/>
            <w10:wrap type="square"/>
          </v:shape>
          <o:OLEObject Type="Embed" ProgID="Word.Document.12" ShapeID="_x0000_s1031" DrawAspect="Icon" ObjectID="_1468075729" r:id="rId14">
            <o:LockedField>false</o:LockedField>
          </o:OLEObject>
        </w:pict>
      </w:r>
      <w:r>
        <w:rPr>
          <w:rFonts w:hint="eastAsia" w:ascii="仿宋_GB2312" w:hAnsi="仿宋_GB2312" w:eastAsia="仿宋_GB2312" w:cs="仿宋_GB2312"/>
          <w:color w:val="000000"/>
          <w:sz w:val="32"/>
          <w:szCs w:val="32"/>
          <w:lang w:val="en-US" w:eastAsia="zh-CN"/>
        </w:rPr>
        <w:t>5.虚拟电厂（含能源聚合商）</w:t>
      </w:r>
      <w:r>
        <w:rPr>
          <w:rFonts w:hint="eastAsia" w:ascii="仿宋_GB2312" w:hAnsi="仿宋_GB2312" w:eastAsia="仿宋_GB2312" w:cs="仿宋_GB2312"/>
          <w:color w:val="000000"/>
          <w:sz w:val="32"/>
          <w:szCs w:val="32"/>
        </w:rPr>
        <w:t>注册</w:t>
      </w:r>
      <w:r>
        <w:rPr>
          <w:rFonts w:hint="eastAsia" w:ascii="仿宋_GB2312" w:hAnsi="仿宋_GB2312" w:eastAsia="仿宋_GB2312" w:cs="仿宋_GB2312"/>
          <w:color w:val="000000"/>
          <w:sz w:val="32"/>
          <w:szCs w:val="32"/>
          <w:lang w:eastAsia="zh-CN"/>
        </w:rPr>
        <w:t>流程</w:t>
      </w:r>
      <w:r>
        <w:rPr>
          <w:rFonts w:hint="eastAsia" w:ascii="仿宋_GB2312" w:hAnsi="仿宋_GB2312" w:eastAsia="仿宋_GB2312" w:cs="仿宋_GB2312"/>
          <w:color w:val="000000"/>
          <w:sz w:val="32"/>
          <w:szCs w:val="32"/>
          <w:lang w:val="en-US" w:eastAsia="zh-CN"/>
        </w:rPr>
        <w:t>务</w:t>
      </w:r>
      <w:r>
        <w:rPr>
          <w:rFonts w:hint="eastAsia" w:ascii="仿宋_GB2312" w:hAnsi="仿宋_GB2312" w:eastAsia="仿宋_GB2312" w:cs="仿宋_GB2312"/>
          <w:color w:val="000000"/>
          <w:sz w:val="32"/>
          <w:szCs w:val="32"/>
        </w:rPr>
        <w:t>指南</w:t>
      </w:r>
    </w:p>
    <w:p>
      <w:pPr>
        <w:pStyle w:val="2"/>
        <w:keepNext w:val="0"/>
        <w:keepLines w:val="0"/>
        <w:pageBreakBefore w:val="0"/>
        <w:widowControl w:val="0"/>
        <w:kinsoku/>
        <w:wordWrap/>
        <w:overflowPunct/>
        <w:topLinePunct w:val="0"/>
        <w:autoSpaceDE/>
        <w:autoSpaceDN/>
        <w:bidi w:val="0"/>
        <w:spacing w:line="580" w:lineRule="exact"/>
        <w:ind w:firstLine="1600" w:firstLineChars="500"/>
        <w:textAlignment w:val="auto"/>
        <w:rPr>
          <w:rFonts w:hint="eastAsia" w:ascii="仿宋_GB2312" w:hAnsi="仿宋_GB2312" w:eastAsia="仿宋_GB2312" w:cs="仿宋_GB2312"/>
          <w:color w:val="000000"/>
          <w:sz w:val="32"/>
          <w:szCs w:val="32"/>
          <w:lang w:val="en-US" w:eastAsia="zh-CN"/>
        </w:rPr>
      </w:pPr>
      <w:bookmarkStart w:id="6" w:name="_GoBack"/>
      <w:r>
        <w:rPr>
          <w:rFonts w:hint="eastAsia" w:ascii="仿宋_GB2312" w:hAnsi="仿宋_GB2312" w:eastAsia="仿宋_GB2312" w:cs="仿宋_GB2312"/>
          <w:color w:val="000000"/>
          <w:sz w:val="32"/>
          <w:szCs w:val="32"/>
        </w:rPr>
        <w:pict>
          <v:shape id="_x0000_s1032" o:spid="_x0000_s1032" o:spt="75" type="#_x0000_t75" style="position:absolute;left:0pt;margin-left:344.15pt;margin-top:18.7pt;height:66pt;width:72.75pt;mso-wrap-distance-bottom:0pt;mso-wrap-distance-left:9pt;mso-wrap-distance-right:9pt;mso-wrap-distance-top:0pt;z-index:251664384;mso-width-relative:page;mso-height-relative:page;" o:ole="t" filled="f" o:preferrelative="t" stroked="f" coordsize="21600,21600">
            <v:path/>
            <v:fill on="f" focussize="0,0"/>
            <v:stroke on="f"/>
            <v:imagedata r:id="rId17" o:title=""/>
            <o:lock v:ext="edit" aspectratio="t"/>
            <w10:wrap type="square"/>
          </v:shape>
          <o:OLEObject Type="Embed" ProgID="Word.Document.12" ShapeID="_x0000_s1032" DrawAspect="Icon" ObjectID="_1468075730" r:id="rId16">
            <o:LockedField>false</o:LockedField>
          </o:OLEObject>
        </w:pict>
      </w:r>
      <w:bookmarkEnd w:id="6"/>
    </w:p>
    <w:p>
      <w:pPr>
        <w:pStyle w:val="2"/>
        <w:keepNext w:val="0"/>
        <w:keepLines w:val="0"/>
        <w:pageBreakBefore w:val="0"/>
        <w:widowControl w:val="0"/>
        <w:kinsoku/>
        <w:wordWrap/>
        <w:overflowPunct/>
        <w:topLinePunct w:val="0"/>
        <w:autoSpaceDE/>
        <w:autoSpaceDN/>
        <w:bidi w:val="0"/>
        <w:spacing w:line="580" w:lineRule="exact"/>
        <w:ind w:firstLine="1600" w:firstLineChars="5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6.分布式电源经营主体</w:t>
      </w:r>
      <w:r>
        <w:rPr>
          <w:rFonts w:hint="eastAsia" w:ascii="仿宋_GB2312" w:hAnsi="仿宋_GB2312" w:eastAsia="仿宋_GB2312" w:cs="仿宋_GB2312"/>
          <w:color w:val="000000"/>
          <w:sz w:val="32"/>
          <w:szCs w:val="32"/>
        </w:rPr>
        <w:t>注册业务</w:t>
      </w:r>
      <w:r>
        <w:rPr>
          <w:rFonts w:hint="eastAsia" w:ascii="仿宋_GB2312" w:hAnsi="仿宋_GB2312" w:eastAsia="仿宋_GB2312" w:cs="仿宋_GB2312"/>
          <w:color w:val="000000"/>
          <w:sz w:val="32"/>
          <w:szCs w:val="32"/>
          <w:lang w:eastAsia="zh-CN"/>
        </w:rPr>
        <w:t>流程</w:t>
      </w:r>
      <w:r>
        <w:rPr>
          <w:rFonts w:hint="eastAsia" w:ascii="仿宋_GB2312" w:hAnsi="仿宋_GB2312" w:eastAsia="仿宋_GB2312" w:cs="仿宋_GB2312"/>
          <w:color w:val="000000"/>
          <w:sz w:val="32"/>
          <w:szCs w:val="32"/>
        </w:rPr>
        <w:t>指南</w:t>
      </w:r>
    </w:p>
    <w:p>
      <w:pPr>
        <w:pStyle w:val="2"/>
        <w:keepNext w:val="0"/>
        <w:keepLines w:val="0"/>
        <w:pageBreakBefore w:val="0"/>
        <w:widowControl w:val="0"/>
        <w:kinsoku/>
        <w:wordWrap/>
        <w:overflowPunct/>
        <w:topLinePunct w:val="0"/>
        <w:autoSpaceDE/>
        <w:autoSpaceDN/>
        <w:bidi w:val="0"/>
        <w:spacing w:line="580" w:lineRule="exact"/>
        <w:textAlignment w:val="auto"/>
      </w:pPr>
    </w:p>
    <w:p>
      <w:pPr>
        <w:pStyle w:val="5"/>
        <w:keepNext w:val="0"/>
        <w:keepLines w:val="0"/>
        <w:pageBreakBefore w:val="0"/>
        <w:widowControl w:val="0"/>
        <w:kinsoku/>
        <w:wordWrap/>
        <w:overflowPunct/>
        <w:topLinePunct w:val="0"/>
        <w:autoSpaceDE/>
        <w:autoSpaceDN/>
        <w:bidi w:val="0"/>
        <w:spacing w:line="580" w:lineRule="exact"/>
        <w:ind w:left="0" w:leftChars="0" w:firstLine="0" w:firstLineChars="0"/>
        <w:textAlignment w:val="auto"/>
        <w:rPr>
          <w:rFonts w:ascii="仿宋_GB2312" w:hAnsi="宋体" w:eastAsia="仿宋_GB2312"/>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p>
    <w:pPr>
      <w:pStyle w:val="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6</w:t>
                          </w:r>
                          <w:r>
                            <w:rPr>
                              <w:rFonts w:hint="eastAsia"/>
                              <w:sz w:val="18"/>
                            </w:rPr>
                            <w:fldChar w:fldCharType="end"/>
                          </w:r>
                        </w:p>
                      </w:txbxContent>
                    </wps:txbx>
                    <wps:bodyPr wrap="none" lIns="0" tIns="0" rIns="0" bIns="0" upright="1">
                      <a:spAutoFit/>
                    </wps:bodyPr>
                  </wps:wsp>
                </a:graphicData>
              </a:graphic>
            </wp:anchor>
          </w:drawing>
        </mc:Choice>
        <mc:Fallback>
          <w:pict>
            <v:shape id="文本框 205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ql5uc8AAAAFAQAADwAAAAAAAAABACAAAAAiAAAAZHJz&#10;L2Rvd25yZXYueG1sUEsBAhQAFAAAAAgAh07iQD/31orUAQAApgMAAA4AAAAAAAAAAQAgAAAAHgEA&#10;AGRycy9lMm9Eb2MueG1sUEsFBgAAAAAGAAYAWQEAAGQ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6</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E33B1B"/>
    <w:multiLevelType w:val="singleLevel"/>
    <w:tmpl w:val="9AE33B1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2F1949"/>
    <w:rsid w:val="0009162E"/>
    <w:rsid w:val="001859A2"/>
    <w:rsid w:val="001B7918"/>
    <w:rsid w:val="003D40BA"/>
    <w:rsid w:val="004A408F"/>
    <w:rsid w:val="006643E0"/>
    <w:rsid w:val="006B1D84"/>
    <w:rsid w:val="007C51C3"/>
    <w:rsid w:val="008C6040"/>
    <w:rsid w:val="009041E7"/>
    <w:rsid w:val="009E37F9"/>
    <w:rsid w:val="00A07D3B"/>
    <w:rsid w:val="00A653EC"/>
    <w:rsid w:val="00B62500"/>
    <w:rsid w:val="00C05E61"/>
    <w:rsid w:val="00CD174F"/>
    <w:rsid w:val="00D43491"/>
    <w:rsid w:val="00D96A76"/>
    <w:rsid w:val="00E3732C"/>
    <w:rsid w:val="00F35916"/>
    <w:rsid w:val="01544421"/>
    <w:rsid w:val="033A07D6"/>
    <w:rsid w:val="04723587"/>
    <w:rsid w:val="051209D8"/>
    <w:rsid w:val="05986939"/>
    <w:rsid w:val="05C051F1"/>
    <w:rsid w:val="06C413A1"/>
    <w:rsid w:val="070A4935"/>
    <w:rsid w:val="072046A2"/>
    <w:rsid w:val="07983C10"/>
    <w:rsid w:val="07E562E6"/>
    <w:rsid w:val="08061F6F"/>
    <w:rsid w:val="093078C6"/>
    <w:rsid w:val="097B612A"/>
    <w:rsid w:val="0A482E32"/>
    <w:rsid w:val="0AEF24B1"/>
    <w:rsid w:val="0B646B93"/>
    <w:rsid w:val="0D1945EC"/>
    <w:rsid w:val="0D7A1625"/>
    <w:rsid w:val="0D856DCC"/>
    <w:rsid w:val="0DCA4499"/>
    <w:rsid w:val="0DD40EBD"/>
    <w:rsid w:val="0E112EF7"/>
    <w:rsid w:val="0E813355"/>
    <w:rsid w:val="0F2E496B"/>
    <w:rsid w:val="0F5848BD"/>
    <w:rsid w:val="0F7D59F6"/>
    <w:rsid w:val="0F8A30AF"/>
    <w:rsid w:val="0FA0124B"/>
    <w:rsid w:val="0FC52FE9"/>
    <w:rsid w:val="1003551C"/>
    <w:rsid w:val="10843691"/>
    <w:rsid w:val="11391E52"/>
    <w:rsid w:val="12145A3A"/>
    <w:rsid w:val="125D540C"/>
    <w:rsid w:val="12CC273D"/>
    <w:rsid w:val="133D36DB"/>
    <w:rsid w:val="134A6DD6"/>
    <w:rsid w:val="1421045F"/>
    <w:rsid w:val="146E5BB6"/>
    <w:rsid w:val="14C76DBB"/>
    <w:rsid w:val="14C95F28"/>
    <w:rsid w:val="15745911"/>
    <w:rsid w:val="15BF49F3"/>
    <w:rsid w:val="160A4079"/>
    <w:rsid w:val="164414C2"/>
    <w:rsid w:val="16575A62"/>
    <w:rsid w:val="1690348C"/>
    <w:rsid w:val="19A545FB"/>
    <w:rsid w:val="1A2609E5"/>
    <w:rsid w:val="1A3C68A7"/>
    <w:rsid w:val="1A826C03"/>
    <w:rsid w:val="1AFA688E"/>
    <w:rsid w:val="1B12643D"/>
    <w:rsid w:val="1C2C7FE2"/>
    <w:rsid w:val="1D395CBC"/>
    <w:rsid w:val="1DFE7540"/>
    <w:rsid w:val="1EB270CB"/>
    <w:rsid w:val="1F38500B"/>
    <w:rsid w:val="1F9424FC"/>
    <w:rsid w:val="20330344"/>
    <w:rsid w:val="20B3672B"/>
    <w:rsid w:val="20B8113C"/>
    <w:rsid w:val="20C31FCA"/>
    <w:rsid w:val="212F528A"/>
    <w:rsid w:val="23755270"/>
    <w:rsid w:val="23AA6079"/>
    <w:rsid w:val="247F00B7"/>
    <w:rsid w:val="24A030A9"/>
    <w:rsid w:val="25610C65"/>
    <w:rsid w:val="26B16DF5"/>
    <w:rsid w:val="26C53AE3"/>
    <w:rsid w:val="26D5687F"/>
    <w:rsid w:val="26E06425"/>
    <w:rsid w:val="27DB70ED"/>
    <w:rsid w:val="281828DA"/>
    <w:rsid w:val="28BF139C"/>
    <w:rsid w:val="28D9270B"/>
    <w:rsid w:val="291D18AD"/>
    <w:rsid w:val="29B35957"/>
    <w:rsid w:val="2A5B2053"/>
    <w:rsid w:val="2A6603D4"/>
    <w:rsid w:val="2BC35D84"/>
    <w:rsid w:val="2C2F1949"/>
    <w:rsid w:val="2CFB58F8"/>
    <w:rsid w:val="2E40666F"/>
    <w:rsid w:val="2E466237"/>
    <w:rsid w:val="2E5D15F0"/>
    <w:rsid w:val="2E6E263A"/>
    <w:rsid w:val="2E750BE6"/>
    <w:rsid w:val="2EEF2F90"/>
    <w:rsid w:val="2F9E262A"/>
    <w:rsid w:val="31CE42C2"/>
    <w:rsid w:val="33410CAC"/>
    <w:rsid w:val="34104F3D"/>
    <w:rsid w:val="34357F34"/>
    <w:rsid w:val="344735C5"/>
    <w:rsid w:val="344B04F4"/>
    <w:rsid w:val="35666243"/>
    <w:rsid w:val="3577196B"/>
    <w:rsid w:val="368A551D"/>
    <w:rsid w:val="36920FBD"/>
    <w:rsid w:val="37086129"/>
    <w:rsid w:val="375B6FEA"/>
    <w:rsid w:val="37D3425E"/>
    <w:rsid w:val="3803639A"/>
    <w:rsid w:val="39B611B1"/>
    <w:rsid w:val="3A43769B"/>
    <w:rsid w:val="3A615F58"/>
    <w:rsid w:val="3B15706C"/>
    <w:rsid w:val="3B161662"/>
    <w:rsid w:val="3B601BF5"/>
    <w:rsid w:val="3C123146"/>
    <w:rsid w:val="3C173922"/>
    <w:rsid w:val="3C1A79A0"/>
    <w:rsid w:val="3D16040F"/>
    <w:rsid w:val="3D434CB0"/>
    <w:rsid w:val="3DC52364"/>
    <w:rsid w:val="3DEA3475"/>
    <w:rsid w:val="3E5E28E2"/>
    <w:rsid w:val="3E7C52B7"/>
    <w:rsid w:val="3E983249"/>
    <w:rsid w:val="3FEB6CC9"/>
    <w:rsid w:val="404F2865"/>
    <w:rsid w:val="405B1790"/>
    <w:rsid w:val="40645442"/>
    <w:rsid w:val="40707630"/>
    <w:rsid w:val="407F595C"/>
    <w:rsid w:val="40E06964"/>
    <w:rsid w:val="439E640E"/>
    <w:rsid w:val="43B35DD1"/>
    <w:rsid w:val="44682E47"/>
    <w:rsid w:val="45267D82"/>
    <w:rsid w:val="45324652"/>
    <w:rsid w:val="45717E53"/>
    <w:rsid w:val="45B4043E"/>
    <w:rsid w:val="45C52F12"/>
    <w:rsid w:val="466C073E"/>
    <w:rsid w:val="466E1242"/>
    <w:rsid w:val="46E74160"/>
    <w:rsid w:val="46F22CFF"/>
    <w:rsid w:val="48453058"/>
    <w:rsid w:val="489306EF"/>
    <w:rsid w:val="49E22BC4"/>
    <w:rsid w:val="4A6F2202"/>
    <w:rsid w:val="4A816D63"/>
    <w:rsid w:val="4BEA0AB3"/>
    <w:rsid w:val="4C1012FF"/>
    <w:rsid w:val="4C607662"/>
    <w:rsid w:val="4C7E5720"/>
    <w:rsid w:val="4C9C012C"/>
    <w:rsid w:val="4CE51F37"/>
    <w:rsid w:val="4D004EE1"/>
    <w:rsid w:val="4D3651ED"/>
    <w:rsid w:val="4DA2669C"/>
    <w:rsid w:val="4DD82DC7"/>
    <w:rsid w:val="4DD958BA"/>
    <w:rsid w:val="4E087DE7"/>
    <w:rsid w:val="4E981B37"/>
    <w:rsid w:val="4EA07D87"/>
    <w:rsid w:val="4ECB1C8B"/>
    <w:rsid w:val="4F0D7FD0"/>
    <w:rsid w:val="50747F96"/>
    <w:rsid w:val="50810408"/>
    <w:rsid w:val="51320B64"/>
    <w:rsid w:val="517B6CD0"/>
    <w:rsid w:val="518C0590"/>
    <w:rsid w:val="5264466E"/>
    <w:rsid w:val="52B7694A"/>
    <w:rsid w:val="532D346E"/>
    <w:rsid w:val="534C0867"/>
    <w:rsid w:val="53737934"/>
    <w:rsid w:val="53E8205E"/>
    <w:rsid w:val="54516FB9"/>
    <w:rsid w:val="54704D95"/>
    <w:rsid w:val="54E00A4E"/>
    <w:rsid w:val="55542D1A"/>
    <w:rsid w:val="55897BE2"/>
    <w:rsid w:val="55DA7807"/>
    <w:rsid w:val="56340925"/>
    <w:rsid w:val="564F04FF"/>
    <w:rsid w:val="56557998"/>
    <w:rsid w:val="567136CB"/>
    <w:rsid w:val="56D56241"/>
    <w:rsid w:val="591C6CEB"/>
    <w:rsid w:val="59336BF8"/>
    <w:rsid w:val="59481887"/>
    <w:rsid w:val="59D15EFE"/>
    <w:rsid w:val="5A1D004C"/>
    <w:rsid w:val="5A231813"/>
    <w:rsid w:val="5A720F9A"/>
    <w:rsid w:val="5ABF6DE8"/>
    <w:rsid w:val="5AC14805"/>
    <w:rsid w:val="5B1D3429"/>
    <w:rsid w:val="5B775E17"/>
    <w:rsid w:val="5D622DE4"/>
    <w:rsid w:val="5D687E6E"/>
    <w:rsid w:val="5DA96122"/>
    <w:rsid w:val="5E1737CE"/>
    <w:rsid w:val="5E1B7EC4"/>
    <w:rsid w:val="600D013F"/>
    <w:rsid w:val="60306C94"/>
    <w:rsid w:val="605F012B"/>
    <w:rsid w:val="60617F8E"/>
    <w:rsid w:val="617F2EE1"/>
    <w:rsid w:val="622F3476"/>
    <w:rsid w:val="62AB1EEE"/>
    <w:rsid w:val="64091E2A"/>
    <w:rsid w:val="64093BC0"/>
    <w:rsid w:val="64EB2639"/>
    <w:rsid w:val="64EB5610"/>
    <w:rsid w:val="651D4188"/>
    <w:rsid w:val="65471C60"/>
    <w:rsid w:val="65566ADF"/>
    <w:rsid w:val="65BA5654"/>
    <w:rsid w:val="65F23910"/>
    <w:rsid w:val="660B3B79"/>
    <w:rsid w:val="661F5F90"/>
    <w:rsid w:val="66540097"/>
    <w:rsid w:val="676D5D3F"/>
    <w:rsid w:val="68321857"/>
    <w:rsid w:val="6900544A"/>
    <w:rsid w:val="697D5BB5"/>
    <w:rsid w:val="69BB7BB1"/>
    <w:rsid w:val="69DA36BA"/>
    <w:rsid w:val="6B9D5719"/>
    <w:rsid w:val="6C600850"/>
    <w:rsid w:val="6CA517CF"/>
    <w:rsid w:val="6FB35005"/>
    <w:rsid w:val="6FFF5CCE"/>
    <w:rsid w:val="70515254"/>
    <w:rsid w:val="70B679FB"/>
    <w:rsid w:val="70B736C6"/>
    <w:rsid w:val="71C907B5"/>
    <w:rsid w:val="7252122B"/>
    <w:rsid w:val="733E4B71"/>
    <w:rsid w:val="73ED2806"/>
    <w:rsid w:val="744C2A5A"/>
    <w:rsid w:val="766F2308"/>
    <w:rsid w:val="77575D2B"/>
    <w:rsid w:val="778C772B"/>
    <w:rsid w:val="784F561E"/>
    <w:rsid w:val="78982F2A"/>
    <w:rsid w:val="79024A14"/>
    <w:rsid w:val="79B53BEF"/>
    <w:rsid w:val="7A1D3E71"/>
    <w:rsid w:val="7A2B3800"/>
    <w:rsid w:val="7A5B3D55"/>
    <w:rsid w:val="7A903524"/>
    <w:rsid w:val="7BBC5B79"/>
    <w:rsid w:val="7CD6446C"/>
    <w:rsid w:val="7DB879AC"/>
    <w:rsid w:val="7E146B57"/>
    <w:rsid w:val="7EE1079F"/>
    <w:rsid w:val="7F263A8E"/>
    <w:rsid w:val="7F890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0"/>
    <w:pPr>
      <w:spacing w:after="120" w:line="480" w:lineRule="auto"/>
    </w:pPr>
  </w:style>
  <w:style w:type="paragraph" w:styleId="5">
    <w:name w:val="Normal Indent"/>
    <w:basedOn w:val="1"/>
    <w:qFormat/>
    <w:uiPriority w:val="0"/>
    <w:pPr>
      <w:ind w:firstLine="420" w:firstLineChars="200"/>
    </w:pPr>
  </w:style>
  <w:style w:type="paragraph" w:styleId="6">
    <w:name w:val="Body Text Indent"/>
    <w:basedOn w:val="1"/>
    <w:link w:val="18"/>
    <w:qFormat/>
    <w:uiPriority w:val="0"/>
    <w:pPr>
      <w:ind w:firstLine="524" w:firstLineChars="187"/>
    </w:pPr>
    <w:rPr>
      <w:rFonts w:ascii="宋体"/>
      <w:sz w:val="28"/>
      <w:szCs w:val="20"/>
    </w:rPr>
  </w:style>
  <w:style w:type="paragraph" w:styleId="7">
    <w:name w:val="Balloon Text"/>
    <w:basedOn w:val="1"/>
    <w:link w:val="19"/>
    <w:qFormat/>
    <w:uiPriority w:val="0"/>
    <w:rPr>
      <w:sz w:val="18"/>
      <w:szCs w:val="18"/>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39"/>
  </w:style>
  <w:style w:type="paragraph" w:styleId="11">
    <w:name w:val="Normal (Web)"/>
    <w:basedOn w:val="1"/>
    <w:qFormat/>
    <w:uiPriority w:val="0"/>
    <w:pPr>
      <w:spacing w:before="100" w:beforeAutospacing="1" w:after="100" w:afterAutospacing="1"/>
      <w:jc w:val="left"/>
    </w:pPr>
    <w:rPr>
      <w:kern w:val="0"/>
      <w:sz w:val="24"/>
    </w:rPr>
  </w:style>
  <w:style w:type="paragraph" w:styleId="12">
    <w:name w:val="Title"/>
    <w:basedOn w:val="1"/>
    <w:next w:val="1"/>
    <w:qFormat/>
    <w:uiPriority w:val="0"/>
    <w:pPr>
      <w:spacing w:before="240" w:after="60"/>
      <w:jc w:val="center"/>
      <w:outlineLvl w:val="0"/>
    </w:pPr>
    <w:rPr>
      <w:rFonts w:ascii="Cambria" w:hAnsi="Cambria" w:eastAsia="仿宋" w:cs="黑体"/>
      <w:b/>
      <w:bCs/>
      <w:sz w:val="32"/>
      <w:szCs w:val="32"/>
    </w:rPr>
  </w:style>
  <w:style w:type="character" w:styleId="15">
    <w:name w:val="Strong"/>
    <w:basedOn w:val="14"/>
    <w:qFormat/>
    <w:uiPriority w:val="0"/>
    <w:rPr>
      <w:b/>
    </w:rPr>
  </w:style>
  <w:style w:type="paragraph" w:styleId="16">
    <w:name w:val="List Paragraph"/>
    <w:basedOn w:val="1"/>
    <w:qFormat/>
    <w:uiPriority w:val="34"/>
    <w:pPr>
      <w:ind w:firstLine="420" w:firstLineChars="200"/>
    </w:pPr>
  </w:style>
  <w:style w:type="paragraph" w:customStyle="1" w:styleId="17">
    <w:name w:val="列出段落1"/>
    <w:basedOn w:val="1"/>
    <w:qFormat/>
    <w:uiPriority w:val="34"/>
    <w:pPr>
      <w:ind w:firstLine="420" w:firstLineChars="200"/>
    </w:pPr>
  </w:style>
  <w:style w:type="character" w:customStyle="1" w:styleId="18">
    <w:name w:val="正文文本缩进 Char"/>
    <w:basedOn w:val="14"/>
    <w:link w:val="6"/>
    <w:qFormat/>
    <w:uiPriority w:val="0"/>
    <w:rPr>
      <w:rFonts w:ascii="宋体"/>
      <w:sz w:val="28"/>
      <w:szCs w:val="20"/>
    </w:rPr>
  </w:style>
  <w:style w:type="character" w:customStyle="1" w:styleId="19">
    <w:name w:val="批注框文本 Char"/>
    <w:basedOn w:val="14"/>
    <w:link w:val="7"/>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C26C5A-03C8-4CF0-B104-74FD9695281F}">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Pages>
  <Words>941</Words>
  <Characters>5364</Characters>
  <Lines>44</Lines>
  <Paragraphs>12</Paragraphs>
  <TotalTime>11</TotalTime>
  <ScaleCrop>false</ScaleCrop>
  <LinksUpToDate>false</LinksUpToDate>
  <CharactersWithSpaces>6293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2022-11-11T09:32:00Z</dcterms:created>
  <dc:creator>韦峰</dc:creator>
  <cp:lastModifiedBy>Administrator</cp:lastModifiedBy>
  <cp:lastPrinted>2022-11-12T09:32:00Z</cp:lastPrinted>
  <dcterms:modified xsi:type="dcterms:W3CDTF">2025-01-22T09:19:40Z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6EA96236588E4929A8A2D68DF23CBDC8</vt:lpwstr>
  </property>
</Properties>
</file>