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Lines="150" w:after="0" w:afterLines="150" w:line="580" w:lineRule="exact"/>
        <w:jc w:val="center"/>
        <w:textAlignment w:val="auto"/>
        <w:rPr>
          <w:rFonts w:hint="eastAsia" w:ascii="方正小标宋_GBK" w:hAnsi="方正小标宋_GBK" w:eastAsia="方正小标宋_GBK" w:cs="方正小标宋_GBK"/>
          <w:b w:val="0"/>
          <w:bCs w:val="0"/>
          <w:snapToGrid/>
          <w:kern w:val="2"/>
          <w:sz w:val="44"/>
          <w:szCs w:val="44"/>
          <w:lang w:val="en-US" w:eastAsia="zh-CN"/>
        </w:rPr>
      </w:pPr>
      <w:r>
        <w:rPr>
          <w:rFonts w:hint="eastAsia" w:ascii="方正小标宋_GBK" w:hAnsi="方正小标宋_GBK" w:eastAsia="方正小标宋_GBK" w:cs="方正小标宋_GBK"/>
          <w:b w:val="0"/>
          <w:bCs w:val="0"/>
          <w:snapToGrid/>
          <w:kern w:val="2"/>
          <w:sz w:val="44"/>
          <w:szCs w:val="44"/>
          <w:lang w:val="en-US" w:eastAsia="zh-CN"/>
        </w:rPr>
        <w:t>安徽省小时级绿电交易实施方案</w:t>
      </w:r>
    </w:p>
    <w:p>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eastAsia" w:ascii="方正仿宋_GBK" w:hAnsi="方正仿宋_GBK" w:eastAsia="方正仿宋_GBK" w:cs="方正仿宋_GBK"/>
          <w:spacing w:val="0"/>
          <w:kern w:val="2"/>
          <w:sz w:val="32"/>
          <w:szCs w:val="32"/>
          <w:lang w:val="en-US" w:eastAsia="zh-CN" w:bidi="ar"/>
        </w:rPr>
      </w:pPr>
      <w:r>
        <w:rPr>
          <w:rFonts w:hint="eastAsia" w:ascii="方正仿宋_GBK" w:hAnsi="方正仿宋_GBK" w:eastAsia="方正仿宋_GBK" w:cs="方正仿宋_GBK"/>
          <w:spacing w:val="0"/>
          <w:kern w:val="2"/>
          <w:sz w:val="32"/>
          <w:szCs w:val="32"/>
          <w:lang w:val="en-US" w:eastAsia="zh-CN" w:bidi="ar"/>
        </w:rPr>
        <w:t>为深入推动安徽省绿色电力交易（以下简称“绿电交易”）工作，落实全面推广小时级绿电交易工作要求，支撑全国统一电力市场建设，推动新能源产业可持续发展，优化提升绿电绿证市场运行质效，切实服务市场经营主体节能降碳转型、有效应对出口碳壁垒需求，在现有省内绿电交易基础上，探索开展安徽省小时级绿电交易，特制定本方案。</w:t>
      </w:r>
    </w:p>
    <w:p>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eastAsia" w:ascii="方正黑体_GBK" w:hAnsi="方正黑体_GBK" w:eastAsia="方正黑体_GBK" w:cs="方正黑体_GBK"/>
          <w:b w:val="0"/>
          <w:bCs w:val="0"/>
          <w:color w:val="auto"/>
          <w:sz w:val="32"/>
          <w:szCs w:val="32"/>
          <w:highlight w:val="none"/>
          <w:lang w:val="en-US" w:eastAsia="zh-CN"/>
        </w:rPr>
      </w:pPr>
      <w:r>
        <w:rPr>
          <w:rFonts w:hint="eastAsia" w:ascii="方正黑体_GBK" w:hAnsi="方正黑体_GBK" w:eastAsia="方正黑体_GBK" w:cs="方正黑体_GBK"/>
          <w:b w:val="0"/>
          <w:bCs w:val="0"/>
          <w:color w:val="auto"/>
          <w:sz w:val="32"/>
          <w:szCs w:val="32"/>
          <w:highlight w:val="none"/>
          <w:lang w:val="en-US" w:eastAsia="zh-CN"/>
        </w:rPr>
        <w:t xml:space="preserve">一、总体目标 </w:t>
      </w:r>
    </w:p>
    <w:p>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eastAsia" w:ascii="方正黑体_GBK" w:hAnsi="方正黑体_GBK" w:eastAsia="方正黑体_GBK" w:cs="方正黑体_GBK"/>
          <w:b w:val="0"/>
          <w:bCs w:val="0"/>
          <w:color w:val="auto"/>
          <w:sz w:val="32"/>
          <w:szCs w:val="32"/>
          <w:highlight w:val="none"/>
          <w:lang w:val="en-US" w:eastAsia="zh-CN"/>
        </w:rPr>
      </w:pPr>
      <w:r>
        <w:rPr>
          <w:rFonts w:hint="eastAsia" w:ascii="方正仿宋_GBK" w:hAnsi="方正仿宋_GBK" w:eastAsia="方正仿宋_GBK" w:cs="方正仿宋_GBK"/>
          <w:spacing w:val="0"/>
          <w:kern w:val="2"/>
          <w:sz w:val="32"/>
          <w:szCs w:val="32"/>
          <w:lang w:val="en-US" w:eastAsia="zh-CN" w:bidi="ar"/>
        </w:rPr>
        <w:t>以市场化手段推动绿电资源精准配置，通过开展小时级绿电交易试点，构建规则完善、流程顺畅、技术支撑、供需匹配的安徽省小时级绿电交易体系，实现绿电交易分小时溯源、可核</w:t>
      </w:r>
      <w:r>
        <w:rPr>
          <w:rFonts w:hint="eastAsia" w:ascii="方正仿宋_GBK" w:hAnsi="方正仿宋_GBK" w:eastAsia="方正仿宋_GBK" w:cs="方正仿宋_GBK"/>
          <w:spacing w:val="0"/>
          <w:kern w:val="2"/>
          <w:sz w:val="32"/>
          <w:szCs w:val="32"/>
          <w:highlight w:val="none"/>
          <w:lang w:val="en-US" w:eastAsia="zh-CN" w:bidi="ar"/>
        </w:rPr>
        <w:t>查、可追溯，完善绿电从批发到零售的全链条交易结算机制，打造适配省内产业需求的绿电交易模式。</w:t>
      </w:r>
    </w:p>
    <w:p>
      <w:pPr>
        <w:keepNext w:val="0"/>
        <w:keepLines w:val="0"/>
        <w:widowControl/>
        <w:numPr>
          <w:ilvl w:val="-1"/>
          <w:numId w:val="0"/>
        </w:numPr>
        <w:suppressLineNumbers w:val="0"/>
        <w:kinsoku/>
        <w:autoSpaceDE/>
        <w:autoSpaceDN/>
        <w:adjustRightInd/>
        <w:spacing w:before="0" w:beforeLines="-2147483648" w:beforeAutospacing="0" w:after="0" w:afterLines="-2147483648" w:afterAutospacing="0" w:line="560" w:lineRule="exact"/>
        <w:ind w:left="0" w:leftChars="0" w:right="0" w:firstLine="640" w:firstLineChars="200"/>
        <w:jc w:val="both"/>
        <w:textAlignment w:val="auto"/>
        <w:rPr>
          <w:rFonts w:hint="eastAsia" w:ascii="方正黑体_GBK" w:hAnsi="方正黑体_GBK" w:eastAsia="方正黑体_GBK" w:cs="方正黑体_GBK"/>
          <w:b w:val="0"/>
          <w:bCs w:val="0"/>
          <w:color w:val="auto"/>
          <w:kern w:val="0"/>
          <w:sz w:val="32"/>
          <w:szCs w:val="32"/>
          <w:highlight w:val="none"/>
          <w:lang w:val="en-US" w:eastAsia="zh-CN" w:bidi="ar"/>
        </w:rPr>
      </w:pPr>
      <w:r>
        <w:rPr>
          <w:rFonts w:hint="eastAsia" w:ascii="方正黑体_GBK" w:hAnsi="方正黑体_GBK" w:eastAsia="方正黑体_GBK" w:cs="方正黑体_GBK"/>
          <w:b w:val="0"/>
          <w:bCs w:val="0"/>
          <w:color w:val="auto"/>
          <w:sz w:val="32"/>
          <w:szCs w:val="32"/>
          <w:highlight w:val="none"/>
          <w:lang w:val="en-US" w:eastAsia="zh-CN"/>
        </w:rPr>
        <w:t>二、</w:t>
      </w:r>
      <w:r>
        <w:rPr>
          <w:rFonts w:hint="eastAsia" w:ascii="方正黑体_GBK" w:hAnsi="方正黑体_GBK" w:eastAsia="方正黑体_GBK" w:cs="方正黑体_GBK"/>
          <w:b w:val="0"/>
          <w:bCs w:val="0"/>
          <w:color w:val="auto"/>
          <w:kern w:val="0"/>
          <w:sz w:val="32"/>
          <w:szCs w:val="32"/>
          <w:highlight w:val="none"/>
          <w:lang w:val="en-US" w:eastAsia="zh-CN" w:bidi="ar"/>
        </w:rPr>
        <w:t>交易组织</w:t>
      </w:r>
    </w:p>
    <w:p>
      <w:pPr>
        <w:spacing w:line="540" w:lineRule="exact"/>
        <w:ind w:firstLine="640" w:firstLineChars="200"/>
        <w:rPr>
          <w:rFonts w:hint="eastAsia" w:ascii="方正仿宋_GBK" w:hAnsi="方正仿宋_GBK" w:eastAsia="方正仿宋_GBK" w:cs="方正仿宋_GBK"/>
          <w:kern w:val="2"/>
          <w:sz w:val="32"/>
          <w:szCs w:val="32"/>
          <w:highlight w:val="none"/>
          <w:lang w:eastAsia="zh-CN" w:bidi="ar"/>
        </w:rPr>
      </w:pPr>
      <w:r>
        <w:rPr>
          <w:rFonts w:hint="eastAsia" w:ascii="方正仿宋_GBK" w:hAnsi="方正仿宋_GBK" w:eastAsia="方正仿宋_GBK" w:cs="方正仿宋_GBK"/>
          <w:b w:val="0"/>
          <w:bCs w:val="0"/>
          <w:color w:val="000000"/>
          <w:kern w:val="0"/>
          <w:sz w:val="32"/>
          <w:szCs w:val="32"/>
          <w:highlight w:val="none"/>
          <w:lang w:val="en-US" w:eastAsia="zh-CN" w:bidi="ar"/>
        </w:rPr>
        <w:t>1.</w:t>
      </w:r>
      <w:r>
        <w:rPr>
          <w:rFonts w:hint="eastAsia" w:ascii="方正仿宋_GBK" w:hAnsi="方正仿宋_GBK" w:eastAsia="方正仿宋_GBK" w:cs="方正仿宋_GBK"/>
          <w:spacing w:val="0"/>
          <w:kern w:val="2"/>
          <w:sz w:val="32"/>
          <w:szCs w:val="32"/>
          <w:highlight w:val="none"/>
          <w:lang w:val="en-US" w:eastAsia="zh-CN" w:bidi="ar"/>
        </w:rPr>
        <w:t>小时级绿电交易与常规绿电交易分开组织，按两笔交易序列分别开展，交易方式、交易标的、交易价格、安全校核等与常规绿电交易采取统一原则。</w:t>
      </w:r>
      <w:r>
        <w:rPr>
          <w:rFonts w:hint="eastAsia" w:ascii="方正仿宋_GBK" w:hAnsi="方正仿宋_GBK" w:eastAsia="方正仿宋_GBK" w:cs="方正仿宋_GBK"/>
          <w:b w:val="0"/>
          <w:bCs w:val="0"/>
          <w:spacing w:val="0"/>
          <w:kern w:val="2"/>
          <w:sz w:val="32"/>
          <w:szCs w:val="32"/>
          <w:highlight w:val="none"/>
          <w:lang w:val="en-US" w:eastAsia="zh-CN" w:bidi="ar"/>
        </w:rPr>
        <w:t>交易方式</w:t>
      </w:r>
      <w:r>
        <w:rPr>
          <w:rFonts w:hint="eastAsia" w:ascii="方正仿宋_GBK" w:hAnsi="方正仿宋_GBK" w:eastAsia="方正仿宋_GBK" w:cs="方正仿宋_GBK"/>
          <w:spacing w:val="0"/>
          <w:kern w:val="2"/>
          <w:sz w:val="32"/>
          <w:szCs w:val="32"/>
          <w:highlight w:val="none"/>
          <w:lang w:val="en-US" w:eastAsia="zh-CN" w:bidi="ar"/>
        </w:rPr>
        <w:t>主要采用双边协商、挂牌等，</w:t>
      </w:r>
      <w:r>
        <w:rPr>
          <w:rFonts w:hint="eastAsia" w:ascii="方正仿宋_GBK" w:hAnsi="方正仿宋_GBK" w:eastAsia="方正仿宋_GBK" w:cs="方正仿宋_GBK"/>
          <w:snapToGrid w:val="0"/>
          <w:color w:val="000000"/>
          <w:kern w:val="0"/>
          <w:sz w:val="31"/>
          <w:szCs w:val="31"/>
          <w:highlight w:val="none"/>
          <w:lang w:val="en-US" w:eastAsia="zh-CN" w:bidi="ar"/>
        </w:rPr>
        <w:t>试点初期暂采用双边协商交易方式开展</w:t>
      </w:r>
      <w:r>
        <w:rPr>
          <w:rFonts w:hint="eastAsia" w:ascii="方正仿宋_GBK" w:hAnsi="方正仿宋_GBK" w:eastAsia="方正仿宋_GBK" w:cs="方正仿宋_GBK"/>
          <w:snapToGrid w:val="0"/>
          <w:color w:val="000000"/>
          <w:kern w:val="2"/>
          <w:sz w:val="32"/>
          <w:szCs w:val="32"/>
          <w:highlight w:val="none"/>
          <w:lang w:val="en-US" w:eastAsia="zh-CN" w:bidi="ar"/>
        </w:rPr>
        <w:t>。</w:t>
      </w:r>
      <w:r>
        <w:rPr>
          <w:rFonts w:hint="eastAsia" w:ascii="方正仿宋_GBK" w:hAnsi="方正仿宋_GBK" w:eastAsia="方正仿宋_GBK" w:cs="方正仿宋_GBK"/>
          <w:kern w:val="2"/>
          <w:sz w:val="32"/>
          <w:szCs w:val="32"/>
          <w:highlight w:val="none"/>
          <w:lang w:eastAsia="zh-CN" w:bidi="ar"/>
        </w:rPr>
        <w:t>初期，绿电环境价值各时段价格保持一致。</w:t>
      </w:r>
    </w:p>
    <w:p>
      <w:pPr>
        <w:spacing w:line="540" w:lineRule="exact"/>
        <w:ind w:firstLine="640" w:firstLineChars="200"/>
        <w:rPr>
          <w:rFonts w:hint="eastAsia" w:ascii="方正仿宋_GBK" w:hAnsi="方正仿宋_GBK" w:eastAsia="方正仿宋_GBK" w:cs="方正仿宋_GBK"/>
          <w:kern w:val="2"/>
          <w:sz w:val="32"/>
          <w:szCs w:val="32"/>
          <w:highlight w:val="none"/>
          <w:lang w:eastAsia="zh-CN" w:bidi="ar"/>
        </w:rPr>
      </w:pPr>
      <w:r>
        <w:rPr>
          <w:rFonts w:hint="eastAsia" w:ascii="方正仿宋_GBK" w:hAnsi="方正仿宋_GBK" w:eastAsia="方正仿宋_GBK" w:cs="方正仿宋_GBK"/>
          <w:kern w:val="2"/>
          <w:sz w:val="32"/>
          <w:szCs w:val="32"/>
          <w:highlight w:val="none"/>
          <w:lang w:val="en-US" w:eastAsia="zh-CN" w:bidi="ar"/>
        </w:rPr>
        <w:t>2.</w:t>
      </w:r>
      <w:r>
        <w:rPr>
          <w:rFonts w:hint="eastAsia" w:ascii="方正仿宋_GBK" w:hAnsi="方正仿宋_GBK" w:eastAsia="方正仿宋_GBK" w:cs="方正仿宋_GBK"/>
          <w:kern w:val="2"/>
          <w:sz w:val="32"/>
          <w:szCs w:val="32"/>
          <w:highlight w:val="none"/>
          <w:lang w:eastAsia="zh-CN" w:bidi="ar"/>
        </w:rPr>
        <w:t>售电公司参与小时级绿电交易时，应提前与零售用户建立代理服务关系、签订小时级绿电零售套餐，并在交易申报时将绿电需求电量全部关联至</w:t>
      </w:r>
      <w:r>
        <w:rPr>
          <w:rFonts w:hint="eastAsia" w:ascii="方正仿宋_GBK" w:hAnsi="方正仿宋_GBK" w:eastAsia="方正仿宋_GBK" w:cs="方正仿宋_GBK"/>
          <w:spacing w:val="0"/>
          <w:kern w:val="2"/>
          <w:sz w:val="32"/>
          <w:szCs w:val="32"/>
          <w:highlight w:val="none"/>
          <w:lang w:val="en-US" w:eastAsia="zh-CN" w:bidi="ar"/>
        </w:rPr>
        <w:t>与其签订小时级绿电零售套餐的</w:t>
      </w:r>
      <w:r>
        <w:rPr>
          <w:rFonts w:hint="eastAsia" w:ascii="方正仿宋_GBK" w:hAnsi="方正仿宋_GBK" w:eastAsia="方正仿宋_GBK" w:cs="方正仿宋_GBK"/>
          <w:kern w:val="2"/>
          <w:sz w:val="32"/>
          <w:szCs w:val="32"/>
          <w:highlight w:val="none"/>
          <w:lang w:eastAsia="zh-CN" w:bidi="ar"/>
        </w:rPr>
        <w:t>代理用户。</w:t>
      </w:r>
    </w:p>
    <w:p>
      <w:pPr>
        <w:keepNext w:val="0"/>
        <w:keepLines w:val="0"/>
        <w:widowControl/>
        <w:suppressLineNumbers w:val="0"/>
        <w:autoSpaceDE w:val="0"/>
        <w:autoSpaceDN/>
        <w:spacing w:before="0" w:beforeLines="0" w:beforeAutospacing="0" w:after="0" w:afterLines="0" w:afterAutospacing="0" w:line="560" w:lineRule="exact"/>
        <w:ind w:left="0" w:right="0" w:firstLine="640" w:firstLineChars="200"/>
        <w:jc w:val="both"/>
        <w:rPr>
          <w:rFonts w:hint="eastAsia" w:ascii="方正仿宋_GBK" w:hAnsi="方正仿宋_GBK" w:eastAsia="方正仿宋_GBK" w:cs="方正仿宋_GBK"/>
          <w:b w:val="0"/>
          <w:bCs w:val="0"/>
          <w:color w:val="auto"/>
          <w:spacing w:val="0"/>
          <w:kern w:val="2"/>
          <w:sz w:val="32"/>
          <w:szCs w:val="32"/>
          <w:highlight w:val="none"/>
          <w:lang w:val="en-US" w:eastAsia="zh-CN" w:bidi="ar"/>
        </w:rPr>
      </w:pPr>
      <w:r>
        <w:rPr>
          <w:rFonts w:hint="eastAsia" w:ascii="方正仿宋_GBK" w:hAnsi="方正仿宋_GBK" w:eastAsia="方正仿宋_GBK" w:cs="方正仿宋_GBK"/>
          <w:b w:val="0"/>
          <w:bCs w:val="0"/>
          <w:color w:val="auto"/>
          <w:spacing w:val="0"/>
          <w:kern w:val="2"/>
          <w:sz w:val="32"/>
          <w:szCs w:val="32"/>
          <w:lang w:val="en-US" w:eastAsia="zh-CN" w:bidi="ar"/>
        </w:rPr>
        <w:t>3.小时级绿电零售套餐包含电能量套餐和绿色电力环境价值套餐两部分，电能量套餐按照省内零售市场规则，与其他电能量套餐统一管理，在电能量零售套餐绑定周期内，签订任</w:t>
      </w:r>
      <w:bookmarkStart w:id="0" w:name="_GoBack"/>
      <w:bookmarkEnd w:id="0"/>
      <w:r>
        <w:rPr>
          <w:rFonts w:hint="eastAsia" w:ascii="方正仿宋_GBK" w:hAnsi="方正仿宋_GBK" w:eastAsia="方正仿宋_GBK" w:cs="方正仿宋_GBK"/>
          <w:b w:val="0"/>
          <w:bCs w:val="0"/>
          <w:color w:val="auto"/>
          <w:spacing w:val="0"/>
          <w:kern w:val="2"/>
          <w:sz w:val="32"/>
          <w:szCs w:val="32"/>
          <w:lang w:val="en-US" w:eastAsia="zh-CN" w:bidi="ar"/>
        </w:rPr>
        <w:t>意月份配套的绿色环境套餐。</w:t>
      </w:r>
    </w:p>
    <w:p>
      <w:pPr>
        <w:numPr>
          <w:ilvl w:val="-1"/>
          <w:numId w:val="0"/>
        </w:numPr>
        <w:kinsoku/>
        <w:autoSpaceDE/>
        <w:autoSpaceDN/>
        <w:adjustRightInd/>
        <w:spacing w:line="560" w:lineRule="exact"/>
        <w:ind w:firstLine="640" w:firstLineChars="200"/>
        <w:jc w:val="both"/>
        <w:textAlignment w:val="auto"/>
        <w:rPr>
          <w:rFonts w:hint="default"/>
          <w:lang w:val="en-US" w:eastAsia="zh-CN"/>
        </w:rPr>
      </w:pPr>
      <w:r>
        <w:rPr>
          <w:rFonts w:hint="eastAsia" w:ascii="方正黑体_GBK" w:hAnsi="方正黑体_GBK" w:eastAsia="方正黑体_GBK" w:cs="方正黑体_GBK"/>
          <w:b w:val="0"/>
          <w:bCs w:val="0"/>
          <w:color w:val="auto"/>
          <w:sz w:val="32"/>
          <w:szCs w:val="32"/>
          <w:highlight w:val="none"/>
          <w:lang w:val="en-US" w:eastAsia="zh-CN"/>
        </w:rPr>
        <w:t>三、</w:t>
      </w:r>
      <w:r>
        <w:rPr>
          <w:rFonts w:hint="eastAsia" w:ascii="方正黑体_GBK" w:hAnsi="方正黑体_GBK" w:eastAsia="方正黑体_GBK" w:cs="方正黑体_GBK"/>
          <w:b w:val="0"/>
          <w:bCs w:val="0"/>
          <w:color w:val="auto"/>
          <w:kern w:val="0"/>
          <w:sz w:val="32"/>
          <w:szCs w:val="32"/>
          <w:highlight w:val="none"/>
          <w:lang w:val="en-US" w:eastAsia="zh-CN" w:bidi="ar"/>
        </w:rPr>
        <w:t>计量结算</w:t>
      </w:r>
    </w:p>
    <w:p>
      <w:pPr>
        <w:keepNext w:val="0"/>
        <w:keepLines w:val="0"/>
        <w:widowControl/>
        <w:suppressLineNumbers w:val="0"/>
        <w:autoSpaceDE w:val="0"/>
        <w:autoSpaceDN/>
        <w:spacing w:before="0" w:beforeLines="0" w:beforeAutospacing="0" w:after="0" w:afterLines="0" w:afterAutospacing="0" w:line="560" w:lineRule="exact"/>
        <w:ind w:left="0" w:right="0" w:firstLine="640" w:firstLineChars="200"/>
        <w:jc w:val="both"/>
        <w:rPr>
          <w:rFonts w:hint="default" w:ascii="方正仿宋_GBK" w:hAnsi="方正仿宋_GBK" w:eastAsia="方正仿宋_GBK" w:cs="方正仿宋_GBK"/>
          <w:b w:val="0"/>
          <w:bCs w:val="0"/>
          <w:spacing w:val="0"/>
          <w:kern w:val="2"/>
          <w:sz w:val="32"/>
          <w:szCs w:val="32"/>
          <w:highlight w:val="none"/>
          <w:lang w:val="en-US" w:eastAsia="zh-CN" w:bidi="ar"/>
        </w:rPr>
      </w:pPr>
      <w:r>
        <w:rPr>
          <w:rFonts w:hint="eastAsia" w:ascii="方正仿宋_GBK" w:hAnsi="方正仿宋_GBK" w:eastAsia="方正仿宋_GBK" w:cs="方正仿宋_GBK"/>
          <w:b w:val="0"/>
          <w:bCs w:val="0"/>
          <w:spacing w:val="0"/>
          <w:kern w:val="2"/>
          <w:sz w:val="32"/>
          <w:szCs w:val="32"/>
          <w:highlight w:val="none"/>
          <w:lang w:val="en-US" w:eastAsia="zh-CN" w:bidi="ar"/>
        </w:rPr>
        <w:t>1.参与小时级绿电的市场主体应具备24点计量条件，营销部、调控中心需在每日前将前一日市场主体24点上网电量、用电量传递至交易中心。</w:t>
      </w:r>
    </w:p>
    <w:p>
      <w:pPr>
        <w:keepNext w:val="0"/>
        <w:keepLines w:val="0"/>
        <w:widowControl/>
        <w:numPr>
          <w:ilvl w:val="0"/>
          <w:numId w:val="1"/>
        </w:numPr>
        <w:suppressLineNumbers w:val="0"/>
        <w:autoSpaceDE w:val="0"/>
        <w:autoSpaceDN/>
        <w:spacing w:before="0" w:beforeLines="0" w:beforeAutospacing="0" w:after="0" w:afterLines="0" w:afterAutospacing="0" w:line="560" w:lineRule="exact"/>
        <w:ind w:left="0" w:right="0" w:firstLine="640" w:firstLineChars="200"/>
        <w:jc w:val="both"/>
        <w:rPr>
          <w:rFonts w:hint="eastAsia" w:ascii="方正仿宋_GBK" w:hAnsi="方正仿宋_GBK" w:eastAsia="方正仿宋_GBK" w:cs="方正仿宋_GBK"/>
          <w:spacing w:val="0"/>
          <w:kern w:val="2"/>
          <w:sz w:val="32"/>
          <w:szCs w:val="32"/>
          <w:highlight w:val="none"/>
          <w:lang w:val="en-US" w:eastAsia="zh-CN" w:bidi="ar"/>
        </w:rPr>
      </w:pPr>
      <w:r>
        <w:rPr>
          <w:rFonts w:hint="eastAsia" w:ascii="方正仿宋_GBK" w:hAnsi="方正仿宋_GBK" w:eastAsia="方正仿宋_GBK" w:cs="方正仿宋_GBK"/>
          <w:spacing w:val="0"/>
          <w:kern w:val="2"/>
          <w:sz w:val="32"/>
          <w:szCs w:val="32"/>
          <w:highlight w:val="none"/>
          <w:lang w:val="en-US" w:eastAsia="zh-CN" w:bidi="ar"/>
        </w:rPr>
        <w:t>小时级绿电交易中电能量与绿色电力环境价值分别清分结算。电能量结算按现有模式开展，绿色环境价值部分结算时，常规绿电交易按照月度开展结算，小时级绿电按每小时合同电量、发电企业上网电量（扣除机制电量、省间绿电交易电量，如有）、电力用户用电量三者取小原则确定。</w:t>
      </w:r>
    </w:p>
    <w:p>
      <w:pPr>
        <w:keepNext w:val="0"/>
        <w:keepLines w:val="0"/>
        <w:widowControl/>
        <w:numPr>
          <w:ilvl w:val="0"/>
          <w:numId w:val="1"/>
        </w:numPr>
        <w:suppressLineNumbers w:val="0"/>
        <w:autoSpaceDE w:val="0"/>
        <w:autoSpaceDN/>
        <w:spacing w:before="0" w:beforeLines="0" w:beforeAutospacing="0" w:after="0" w:afterLines="0" w:afterAutospacing="0" w:line="560" w:lineRule="exact"/>
        <w:ind w:left="0" w:right="0" w:firstLine="640" w:firstLineChars="200"/>
        <w:jc w:val="both"/>
        <w:rPr>
          <w:rFonts w:hint="eastAsia" w:ascii="方正仿宋_GBK" w:hAnsi="方正仿宋_GBK" w:eastAsia="方正仿宋_GBK" w:cs="方正仿宋_GBK"/>
          <w:spacing w:val="0"/>
          <w:kern w:val="2"/>
          <w:sz w:val="32"/>
          <w:szCs w:val="32"/>
          <w:highlight w:val="none"/>
          <w:lang w:val="en-US" w:eastAsia="zh-CN" w:bidi="ar"/>
        </w:rPr>
      </w:pPr>
      <w:r>
        <w:rPr>
          <w:rFonts w:hint="eastAsia" w:ascii="方正仿宋_GBK" w:hAnsi="方正仿宋_GBK" w:eastAsia="方正仿宋_GBK" w:cs="方正仿宋_GBK"/>
          <w:spacing w:val="0"/>
          <w:kern w:val="2"/>
          <w:sz w:val="32"/>
          <w:szCs w:val="32"/>
          <w:highlight w:val="none"/>
          <w:lang w:val="en-US" w:eastAsia="zh-CN" w:bidi="ar"/>
        </w:rPr>
        <w:t>开展小时级绿电交易和常规绿电交易的经营主体，可先进行小时级绿电交易环境价值清分计算、再开展常规绿电环境价值结算；也可先按现行政策开展绿电环境价值结算，再进行小时级绿电环境价值清分计算。</w:t>
      </w:r>
    </w:p>
    <w:p>
      <w:pPr>
        <w:numPr>
          <w:numId w:val="0"/>
        </w:numPr>
        <w:kinsoku/>
        <w:autoSpaceDE/>
        <w:autoSpaceDN/>
        <w:adjustRightInd/>
        <w:spacing w:line="560" w:lineRule="exact"/>
        <w:ind w:firstLine="640" w:firstLineChars="200"/>
        <w:jc w:val="both"/>
        <w:textAlignment w:val="auto"/>
        <w:rPr>
          <w:rFonts w:hint="eastAsia" w:ascii="方正黑体_GBK" w:hAnsi="方正黑体_GBK" w:eastAsia="方正黑体_GBK" w:cs="方正黑体_GBK"/>
          <w:color w:val="auto"/>
          <w:sz w:val="32"/>
          <w:szCs w:val="32"/>
          <w:highlight w:val="none"/>
          <w:lang w:eastAsia="zh-CN"/>
        </w:rPr>
      </w:pPr>
      <w:r>
        <w:rPr>
          <w:rFonts w:hint="eastAsia" w:ascii="方正黑体_GBK" w:hAnsi="方正黑体_GBK" w:eastAsia="方正黑体_GBK" w:cs="方正黑体_GBK"/>
          <w:color w:val="auto"/>
          <w:sz w:val="32"/>
          <w:szCs w:val="32"/>
          <w:highlight w:val="none"/>
          <w:lang w:eastAsia="zh-CN"/>
        </w:rPr>
        <w:t>四、附则</w:t>
      </w:r>
    </w:p>
    <w:p>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本方案未尽事项，按《</w:t>
      </w:r>
      <w:r>
        <w:rPr>
          <w:rFonts w:hint="eastAsia" w:ascii="方正仿宋_GBK" w:hAnsi="方正仿宋_GBK" w:eastAsia="方正仿宋_GBK" w:cs="方正仿宋_GBK"/>
          <w:sz w:val="32"/>
          <w:szCs w:val="32"/>
          <w:lang w:val="en-US" w:eastAsia="zh-CN"/>
        </w:rPr>
        <w:t>安徽</w:t>
      </w:r>
      <w:r>
        <w:rPr>
          <w:rFonts w:hint="eastAsia" w:ascii="方正仿宋_GBK" w:hAnsi="方正仿宋_GBK" w:eastAsia="方正仿宋_GBK" w:cs="方正仿宋_GBK"/>
          <w:sz w:val="32"/>
          <w:szCs w:val="32"/>
        </w:rPr>
        <w:t>电力中长期市场实施细则》（华东监能市场〔2026〕2</w:t>
      </w: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rPr>
        <w:t>号）、《</w:t>
      </w:r>
      <w:r>
        <w:rPr>
          <w:rFonts w:hint="eastAsia" w:ascii="方正仿宋_GBK" w:hAnsi="方正仿宋_GBK" w:eastAsia="方正仿宋_GBK" w:cs="方正仿宋_GBK"/>
          <w:sz w:val="32"/>
          <w:szCs w:val="32"/>
          <w:lang w:val="en-US" w:eastAsia="zh-CN"/>
        </w:rPr>
        <w:t>安徽省</w:t>
      </w:r>
      <w:r>
        <w:rPr>
          <w:rFonts w:hint="eastAsia" w:ascii="方正仿宋_GBK" w:hAnsi="方正仿宋_GBK" w:eastAsia="方正仿宋_GBK" w:cs="方正仿宋_GBK"/>
          <w:sz w:val="32"/>
          <w:szCs w:val="32"/>
        </w:rPr>
        <w:t>绿色电力交易实施方案（202</w:t>
      </w: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rPr>
        <w:t>年版）》（</w:t>
      </w:r>
      <w:r>
        <w:rPr>
          <w:rFonts w:hint="eastAsia" w:ascii="方正仿宋_GBK" w:hAnsi="方正仿宋_GBK" w:eastAsia="方正仿宋_GBK" w:cs="方正仿宋_GBK"/>
          <w:sz w:val="32"/>
          <w:szCs w:val="32"/>
          <w:lang w:val="en-US" w:eastAsia="zh-CN"/>
        </w:rPr>
        <w:t>皖能源新能</w:t>
      </w:r>
      <w:r>
        <w:rPr>
          <w:rFonts w:hint="eastAsia" w:ascii="方正仿宋_GBK" w:hAnsi="方正仿宋_GBK" w:eastAsia="方正仿宋_GBK" w:cs="方正仿宋_GBK"/>
          <w:sz w:val="32"/>
          <w:szCs w:val="32"/>
        </w:rPr>
        <w:t>〔202</w:t>
      </w:r>
      <w:r>
        <w:rPr>
          <w:rFonts w:hint="eastAsia" w:ascii="方正仿宋_GBK" w:hAnsi="方正仿宋_GBK" w:eastAsia="方正仿宋_GBK" w:cs="方正仿宋_GBK"/>
          <w:sz w:val="32"/>
          <w:szCs w:val="32"/>
          <w:lang w:val="en-US" w:eastAsia="zh-CN"/>
        </w:rPr>
        <w:t>4</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63</w:t>
      </w:r>
      <w:r>
        <w:rPr>
          <w:rFonts w:hint="eastAsia" w:ascii="方正仿宋_GBK" w:hAnsi="方正仿宋_GBK" w:eastAsia="方正仿宋_GBK" w:cs="方正仿宋_GBK"/>
          <w:sz w:val="32"/>
          <w:szCs w:val="32"/>
        </w:rPr>
        <w:t>号）执行；国家政策文件有最新规定的，从其规定。</w:t>
      </w:r>
    </w:p>
    <w:p>
      <w:pPr>
        <w:pStyle w:val="2"/>
        <w:rPr>
          <w:rFonts w:hint="eastAsia"/>
          <w:lang w:val="en-US" w:eastAsia="zh-CN"/>
        </w:rPr>
      </w:pPr>
    </w:p>
    <w:p>
      <w:pPr>
        <w:pStyle w:val="2"/>
      </w:pPr>
    </w:p>
    <w:sectPr>
      <w:footerReference r:id="rId5" w:type="default"/>
      <w:pgSz w:w="11907" w:h="16839"/>
      <w:pgMar w:top="1431" w:right="1684" w:bottom="1452" w:left="1785" w:header="0" w:footer="1185"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3" w:lineRule="auto"/>
      <w:ind w:left="4122"/>
      <w:rPr>
        <w:rFonts w:hint="eastAsia"/>
        <w:lang w:val="en-US" w:eastAsia="zh-CN"/>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F965D2"/>
    <w:multiLevelType w:val="singleLevel"/>
    <w:tmpl w:val="99F965D2"/>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trackRevisions w:val="1"/>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0A365BA"/>
    <w:rsid w:val="020D13EC"/>
    <w:rsid w:val="021E056F"/>
    <w:rsid w:val="02390223"/>
    <w:rsid w:val="02DE3C6D"/>
    <w:rsid w:val="07426A65"/>
    <w:rsid w:val="09A60F2F"/>
    <w:rsid w:val="0A76580C"/>
    <w:rsid w:val="0B212BCE"/>
    <w:rsid w:val="0B623DB7"/>
    <w:rsid w:val="0BB928BA"/>
    <w:rsid w:val="0C866740"/>
    <w:rsid w:val="0CE628BA"/>
    <w:rsid w:val="0D8F1A4E"/>
    <w:rsid w:val="0DA21009"/>
    <w:rsid w:val="0E5D22EA"/>
    <w:rsid w:val="0F0260AC"/>
    <w:rsid w:val="10B01278"/>
    <w:rsid w:val="11CC1DC3"/>
    <w:rsid w:val="144A78D1"/>
    <w:rsid w:val="15067F8B"/>
    <w:rsid w:val="16FD6D04"/>
    <w:rsid w:val="17E95269"/>
    <w:rsid w:val="19942BD9"/>
    <w:rsid w:val="1D1D6866"/>
    <w:rsid w:val="1DF964FB"/>
    <w:rsid w:val="1EBF357F"/>
    <w:rsid w:val="1FE60676"/>
    <w:rsid w:val="22FD0ADD"/>
    <w:rsid w:val="230864DF"/>
    <w:rsid w:val="23805FFA"/>
    <w:rsid w:val="238A65DF"/>
    <w:rsid w:val="23E17175"/>
    <w:rsid w:val="26727723"/>
    <w:rsid w:val="27145DC0"/>
    <w:rsid w:val="28CB65FE"/>
    <w:rsid w:val="29C92C9E"/>
    <w:rsid w:val="2AD07FCD"/>
    <w:rsid w:val="2B9C23FB"/>
    <w:rsid w:val="2B9E191F"/>
    <w:rsid w:val="2C8D75CB"/>
    <w:rsid w:val="2CEC5E40"/>
    <w:rsid w:val="2E861C9D"/>
    <w:rsid w:val="30035DBA"/>
    <w:rsid w:val="31DE32C1"/>
    <w:rsid w:val="326C2300"/>
    <w:rsid w:val="361B51EE"/>
    <w:rsid w:val="379B5AA2"/>
    <w:rsid w:val="38C42631"/>
    <w:rsid w:val="3A2F13A8"/>
    <w:rsid w:val="3AD00807"/>
    <w:rsid w:val="3C5A0F14"/>
    <w:rsid w:val="3CFD6168"/>
    <w:rsid w:val="3ED76ABC"/>
    <w:rsid w:val="3F8B4224"/>
    <w:rsid w:val="40E47D03"/>
    <w:rsid w:val="43AC3E89"/>
    <w:rsid w:val="445377BD"/>
    <w:rsid w:val="45A05893"/>
    <w:rsid w:val="461A407C"/>
    <w:rsid w:val="475B61B0"/>
    <w:rsid w:val="47CA508E"/>
    <w:rsid w:val="488A7170"/>
    <w:rsid w:val="48F21F41"/>
    <w:rsid w:val="49D35E2D"/>
    <w:rsid w:val="49E32428"/>
    <w:rsid w:val="4A2644A2"/>
    <w:rsid w:val="4B804BEF"/>
    <w:rsid w:val="4C136406"/>
    <w:rsid w:val="4F382F8E"/>
    <w:rsid w:val="4FAA0B10"/>
    <w:rsid w:val="50933F5C"/>
    <w:rsid w:val="515A08C9"/>
    <w:rsid w:val="52FB6426"/>
    <w:rsid w:val="53364AE3"/>
    <w:rsid w:val="53563D73"/>
    <w:rsid w:val="562B0940"/>
    <w:rsid w:val="57DB6A19"/>
    <w:rsid w:val="57FC6CC7"/>
    <w:rsid w:val="58A509DC"/>
    <w:rsid w:val="59390A0B"/>
    <w:rsid w:val="59602611"/>
    <w:rsid w:val="5A754C44"/>
    <w:rsid w:val="5CA328A4"/>
    <w:rsid w:val="5CF9660B"/>
    <w:rsid w:val="5D19496B"/>
    <w:rsid w:val="5DFB702C"/>
    <w:rsid w:val="5EE41285"/>
    <w:rsid w:val="5FE14D81"/>
    <w:rsid w:val="60E2562A"/>
    <w:rsid w:val="616C4DE5"/>
    <w:rsid w:val="62337583"/>
    <w:rsid w:val="62404A8B"/>
    <w:rsid w:val="627D2B19"/>
    <w:rsid w:val="62911C47"/>
    <w:rsid w:val="66D4130F"/>
    <w:rsid w:val="69C77A26"/>
    <w:rsid w:val="69E73796"/>
    <w:rsid w:val="69EF7FDC"/>
    <w:rsid w:val="6AD5760F"/>
    <w:rsid w:val="6B725637"/>
    <w:rsid w:val="6B9617A8"/>
    <w:rsid w:val="6BA551E0"/>
    <w:rsid w:val="6D9632D6"/>
    <w:rsid w:val="6DB1383F"/>
    <w:rsid w:val="702450EB"/>
    <w:rsid w:val="703B36F4"/>
    <w:rsid w:val="7099044B"/>
    <w:rsid w:val="72E75711"/>
    <w:rsid w:val="736A5E0C"/>
    <w:rsid w:val="74325406"/>
    <w:rsid w:val="76632274"/>
    <w:rsid w:val="79DF7106"/>
    <w:rsid w:val="79F418CD"/>
    <w:rsid w:val="7ACE61AB"/>
    <w:rsid w:val="7AF976D0"/>
    <w:rsid w:val="7C0C6964"/>
    <w:rsid w:val="7C134CE3"/>
    <w:rsid w:val="7E382323"/>
    <w:rsid w:val="7EB6664E"/>
    <w:rsid w:val="7FFC070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next w:val="1"/>
    <w:semiHidden/>
    <w:unhideWhenUsed/>
    <w:qFormat/>
    <w:uiPriority w:val="99"/>
    <w:pPr>
      <w:ind w:firstLine="420" w:firstLineChars="200"/>
    </w:pPr>
  </w:style>
  <w:style w:type="paragraph" w:styleId="3">
    <w:name w:val="Body Text"/>
    <w:basedOn w:val="1"/>
    <w:semiHidden/>
    <w:qFormat/>
    <w:uiPriority w:val="0"/>
    <w:rPr>
      <w:rFonts w:ascii="微软雅黑" w:hAnsi="微软雅黑" w:eastAsia="微软雅黑" w:cs="微软雅黑"/>
      <w:sz w:val="31"/>
      <w:szCs w:val="3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Body Text 2"/>
    <w:basedOn w:val="1"/>
    <w:qFormat/>
    <w:uiPriority w:val="0"/>
    <w:pPr>
      <w:spacing w:after="120" w:line="480" w:lineRule="auto"/>
    </w:pPr>
  </w:style>
  <w:style w:type="character" w:styleId="9">
    <w:name w:val="Strong"/>
    <w:basedOn w:val="8"/>
    <w:qFormat/>
    <w:uiPriority w:val="0"/>
    <w:rPr>
      <w:b/>
    </w:rPr>
  </w:style>
  <w:style w:type="table" w:customStyle="1" w:styleId="1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25d447f0-a0ce-41f1-8f61-8d661278c443</errorID>
      <errorWord>和分解</errorWord>
      <group>L1_Grammar</group>
      <groupName>语法问题</groupName>
      <ability>L2_Order</ability>
      <abilityName>语序不当</abilityName>
      <candidateList>
        <item>分解和</item>
      </candidateList>
      <explain>句子可能没有遵循时空、逻辑顺序，或者介词、关联词等位置不当。</explain>
      <paraID>5854BCF4</paraID>
      <start>14</start>
      <end>17</end>
      <status>unmodified</status>
      <modifiedWord/>
      <trackRevisions>false</trackRevisions>
    </reviewItem>
    <reviewItem>
      <errorID>c7413ace-c777-4a4b-9c2b-a8d218ed10f4</errorID>
      <errorWord>侧</errorWord>
      <group>L1_Word</group>
      <groupName>字词问题</groupName>
      <ability>L2_Typo</ability>
      <abilityName>字词错误</abilityName>
      <candidateList>
        <item>的</item>
      </candidateList>
      <explain>“的”常用于连接修饰语与名词性中心语，表示属性、所属或描述。</explain>
      <paraID>5854BCF4</paraID>
      <start>46</start>
      <end>47</end>
      <status>unmodified</status>
      <modifiedWord/>
      <trackRevisions>false</trackRevisions>
    </reviewItem>
    <reviewItem>
      <errorID>a995e575-ce32-40d9-bb1e-8b1ec40a0e17</errorID>
      <errorWord>制订</errorWord>
      <group>L1_Word</group>
      <groupName>字词问题</groupName>
      <ability>L2_Typo</ability>
      <abilityName>字词错误</abilityName>
      <candidateList>
        <item>制定</item>
      </candidateList>
      <explain>〈动〉定出（法律、规程、政策等）：～宪法｜～学会章程。</explain>
      <paraID>5854BCF4</paraID>
      <start>146</start>
      <end>148</end>
      <status>modified</status>
      <modifiedWord>制定</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73b02d-1d3f-49b8-a2ca-a7e7a0b75b33}">
  <ds:schemaRefs/>
</ds:datastoreItem>
</file>

<file path=docProps/app.xml><?xml version="1.0" encoding="utf-8"?>
<Properties xmlns="http://schemas.openxmlformats.org/officeDocument/2006/extended-properties" xmlns:vt="http://schemas.openxmlformats.org/officeDocument/2006/docPropsVTypes">
  <Pages>2</Pages>
  <Words>2216</Words>
  <Characters>2229</Characters>
  <TotalTime>35</TotalTime>
  <ScaleCrop>false</ScaleCrop>
  <LinksUpToDate>false</LinksUpToDate>
  <CharactersWithSpaces>2240</CharactersWithSpaces>
  <Application>WPS Office_11.8.2.12316_F1E327BC-269C-435d-A152-05C5408002CA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2026-02-03T15:38:00Z</dcterms:created>
  <dc:creator>于松泰</dc:creator>
  <cp:lastModifiedBy>administrator</cp:lastModifiedBy>
  <cp:lastPrinted>2026-09-23T08:16:45Z</cp:lastPrinted>
  <dcterms:modified xsi:type="dcterms:W3CDTF">2026-09-23T08:28:58Z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2026-02-12T11:02:13Z</vt:filetime>
  </property>
  <property fmtid="{D5CDD505-2E9C-101B-9397-08002B2CF9AE}" pid="4" name="KSOProductBuildVer">
    <vt:lpwstr>2052-11.8.2.12316</vt:lpwstr>
  </property>
  <property fmtid="{D5CDD505-2E9C-101B-9397-08002B2CF9AE}" pid="5" name="ICV">
    <vt:lpwstr>AACF22817D8B47FAB3C5EF38CFBECEC3</vt:lpwstr>
  </property>
  <property fmtid="{D5CDD505-2E9C-101B-9397-08002B2CF9AE}" pid="6" name="KSOTemplateDocerSaveRecord">
    <vt:lpwstr>eyJoZGlkIjoiZTZjMjQwYjM4MzdjOTRkZDk5MWJkMGVmM2EwMTRiODUiLCJ1c2VySWQiOiI1MjQ3Mzc5NjgifQ==</vt:lpwstr>
  </property>
</Properties>
</file>